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rFonts w:ascii="Times New Roman"/>
          <w:sz w:val="20"/>
        </w:rPr>
      </w:pPr>
      <w:bookmarkStart w:id="43" w:name="_GoBack"/>
      <w:bookmarkEnd w:id="43"/>
    </w:p>
    <w:p>
      <w:pPr>
        <w:pStyle w:val="4"/>
        <w:rPr>
          <w:rFonts w:ascii="Times New Roman"/>
          <w:sz w:val="20"/>
        </w:rPr>
      </w:pPr>
    </w:p>
    <w:p>
      <w:pPr>
        <w:pStyle w:val="4"/>
        <w:spacing w:before="7"/>
        <w:rPr>
          <w:rFonts w:ascii="Times New Roman"/>
          <w:sz w:val="29"/>
        </w:rPr>
      </w:pPr>
    </w:p>
    <w:p>
      <w:pPr>
        <w:spacing w:before="49"/>
        <w:ind w:left="0" w:right="211" w:firstLine="0"/>
        <w:jc w:val="center"/>
        <w:rPr>
          <w:rFonts w:hint="eastAsia" w:ascii="华文中宋" w:eastAsia="华文中宋"/>
          <w:b/>
          <w:sz w:val="40"/>
        </w:rPr>
      </w:pPr>
      <w:r>
        <w:rPr>
          <w:rFonts w:hint="eastAsia" w:ascii="华文中宋" w:eastAsia="华文中宋"/>
          <w:b/>
          <w:sz w:val="40"/>
        </w:rPr>
        <w:t>深圳市龙岗区龙岗街道龙西社区雨污分流管网工程</w:t>
      </w:r>
    </w:p>
    <w:p>
      <w:pPr>
        <w:spacing w:before="270"/>
        <w:ind w:left="0" w:right="257" w:firstLine="0"/>
        <w:jc w:val="center"/>
        <w:rPr>
          <w:rFonts w:hint="eastAsia" w:ascii="华文中宋" w:eastAsia="华文中宋"/>
          <w:sz w:val="44"/>
        </w:rPr>
      </w:pPr>
      <w:r>
        <w:rPr>
          <w:rFonts w:hint="eastAsia" w:ascii="华文中宋" w:eastAsia="华文中宋"/>
          <w:sz w:val="44"/>
        </w:rPr>
        <w:t>水土保持设施验收报告</w:t>
      </w:r>
    </w:p>
    <w:p>
      <w:pPr>
        <w:pStyle w:val="4"/>
        <w:rPr>
          <w:rFonts w:ascii="华文中宋"/>
          <w:sz w:val="58"/>
        </w:rPr>
      </w:pPr>
    </w:p>
    <w:p>
      <w:pPr>
        <w:pStyle w:val="4"/>
        <w:rPr>
          <w:rFonts w:ascii="华文中宋"/>
          <w:sz w:val="58"/>
        </w:rPr>
      </w:pPr>
    </w:p>
    <w:p>
      <w:pPr>
        <w:pStyle w:val="4"/>
        <w:rPr>
          <w:rFonts w:ascii="华文中宋"/>
          <w:sz w:val="58"/>
        </w:rPr>
      </w:pPr>
    </w:p>
    <w:p>
      <w:pPr>
        <w:pStyle w:val="4"/>
        <w:rPr>
          <w:rFonts w:ascii="华文中宋"/>
          <w:sz w:val="58"/>
        </w:rPr>
      </w:pPr>
    </w:p>
    <w:p>
      <w:pPr>
        <w:pStyle w:val="4"/>
        <w:rPr>
          <w:rFonts w:ascii="华文中宋"/>
          <w:sz w:val="58"/>
        </w:rPr>
      </w:pPr>
    </w:p>
    <w:p>
      <w:pPr>
        <w:pStyle w:val="4"/>
        <w:rPr>
          <w:rFonts w:ascii="华文中宋"/>
          <w:sz w:val="58"/>
        </w:rPr>
      </w:pPr>
    </w:p>
    <w:p>
      <w:pPr>
        <w:pStyle w:val="4"/>
        <w:rPr>
          <w:rFonts w:ascii="华文中宋"/>
          <w:sz w:val="58"/>
        </w:rPr>
      </w:pPr>
    </w:p>
    <w:p>
      <w:pPr>
        <w:pStyle w:val="4"/>
        <w:rPr>
          <w:rFonts w:ascii="华文中宋"/>
          <w:sz w:val="58"/>
        </w:rPr>
      </w:pPr>
    </w:p>
    <w:p>
      <w:pPr>
        <w:pStyle w:val="4"/>
        <w:rPr>
          <w:rFonts w:ascii="华文中宋"/>
          <w:sz w:val="58"/>
        </w:rPr>
      </w:pPr>
    </w:p>
    <w:p>
      <w:pPr>
        <w:pStyle w:val="4"/>
        <w:spacing w:before="9"/>
        <w:rPr>
          <w:rFonts w:ascii="华文中宋"/>
          <w:sz w:val="65"/>
        </w:rPr>
      </w:pPr>
    </w:p>
    <w:p>
      <w:pPr>
        <w:spacing w:before="0"/>
        <w:ind w:left="0" w:right="257" w:firstLine="0"/>
        <w:jc w:val="center"/>
        <w:rPr>
          <w:sz w:val="32"/>
        </w:rPr>
      </w:pPr>
      <w:r>
        <w:drawing>
          <wp:anchor distT="0" distB="0" distL="0" distR="0" simplePos="0" relativeHeight="251660288" behindDoc="1" locked="0" layoutInCell="1" allowOverlap="1">
            <wp:simplePos x="0" y="0"/>
            <wp:positionH relativeFrom="page">
              <wp:posOffset>2937510</wp:posOffset>
            </wp:positionH>
            <wp:positionV relativeFrom="paragraph">
              <wp:posOffset>-739140</wp:posOffset>
            </wp:positionV>
            <wp:extent cx="1671955" cy="172974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11" cstate="print"/>
                    <a:stretch>
                      <a:fillRect/>
                    </a:stretch>
                  </pic:blipFill>
                  <pic:spPr>
                    <a:xfrm>
                      <a:off x="0" y="0"/>
                      <a:ext cx="1672119" cy="1729739"/>
                    </a:xfrm>
                    <a:prstGeom prst="rect">
                      <a:avLst/>
                    </a:prstGeom>
                  </pic:spPr>
                </pic:pic>
              </a:graphicData>
            </a:graphic>
          </wp:anchor>
        </w:drawing>
      </w:r>
      <w:r>
        <w:rPr>
          <w:sz w:val="32"/>
        </w:rPr>
        <w:t>深圳市海平峰水务技术工程有限公司</w:t>
      </w:r>
    </w:p>
    <w:p>
      <w:pPr>
        <w:spacing w:before="214"/>
        <w:ind w:left="0" w:right="257" w:firstLine="0"/>
        <w:jc w:val="center"/>
        <w:rPr>
          <w:sz w:val="32"/>
        </w:rPr>
      </w:pPr>
      <w:r>
        <w:rPr>
          <w:rFonts w:ascii="Times New Roman" w:eastAsia="Times New Roman"/>
          <w:sz w:val="32"/>
        </w:rPr>
        <w:t xml:space="preserve">2019 </w:t>
      </w:r>
      <w:r>
        <w:rPr>
          <w:sz w:val="32"/>
        </w:rPr>
        <w:t xml:space="preserve">年 </w:t>
      </w:r>
      <w:r>
        <w:rPr>
          <w:rFonts w:ascii="Times New Roman" w:eastAsia="Times New Roman"/>
          <w:sz w:val="32"/>
        </w:rPr>
        <w:t xml:space="preserve">11 </w:t>
      </w:r>
      <w:r>
        <w:rPr>
          <w:sz w:val="32"/>
        </w:rPr>
        <w:t>月</w:t>
      </w:r>
    </w:p>
    <w:p>
      <w:pPr>
        <w:spacing w:after="0"/>
        <w:jc w:val="center"/>
        <w:rPr>
          <w:sz w:val="32"/>
        </w:rPr>
        <w:sectPr>
          <w:type w:val="continuous"/>
          <w:pgSz w:w="11910" w:h="16840"/>
          <w:pgMar w:top="1580" w:right="1160" w:bottom="280" w:left="1420" w:header="720" w:footer="720" w:gutter="0"/>
          <w:cols w:space="720" w:num="1"/>
        </w:sectPr>
      </w:pPr>
    </w:p>
    <w:p>
      <w:pPr>
        <w:tabs>
          <w:tab w:val="left" w:pos="561"/>
        </w:tabs>
        <w:spacing w:before="47"/>
        <w:ind w:left="0" w:right="257" w:firstLine="0"/>
        <w:jc w:val="center"/>
        <w:rPr>
          <w:rFonts w:hint="eastAsia" w:ascii="黑体" w:eastAsia="黑体"/>
          <w:b/>
          <w:sz w:val="28"/>
        </w:rPr>
      </w:pPr>
      <w:r>
        <w:rPr>
          <w:rFonts w:hint="eastAsia" w:ascii="黑体" w:eastAsia="黑体"/>
          <w:b/>
          <w:sz w:val="28"/>
        </w:rPr>
        <w:t>目</w:t>
      </w:r>
      <w:r>
        <w:rPr>
          <w:rFonts w:hint="eastAsia" w:ascii="黑体" w:eastAsia="黑体"/>
          <w:b/>
          <w:sz w:val="28"/>
        </w:rPr>
        <w:tab/>
      </w:r>
      <w:r>
        <w:rPr>
          <w:rFonts w:hint="eastAsia" w:ascii="黑体" w:eastAsia="黑体"/>
          <w:b/>
          <w:sz w:val="28"/>
        </w:rPr>
        <w:t>录</w:t>
      </w:r>
    </w:p>
    <w:sdt>
      <w:sdtPr>
        <w:id w:val="0"/>
        <w:docPartObj>
          <w:docPartGallery w:val="Table of Contents"/>
          <w:docPartUnique/>
        </w:docPartObj>
      </w:sdtPr>
      <w:sdtContent>
        <w:p>
          <w:pPr>
            <w:pStyle w:val="5"/>
            <w:tabs>
              <w:tab w:val="right" w:leader="dot" w:pos="9069"/>
            </w:tabs>
            <w:spacing w:before="141"/>
            <w:rPr>
              <w:rFonts w:ascii="Times New Roman" w:eastAsia="Times New Roman"/>
            </w:rPr>
          </w:pPr>
          <w:r>
            <w:fldChar w:fldCharType="begin"/>
          </w:r>
          <w:r>
            <w:instrText xml:space="preserve"> HYPERLINK \l "_TOC_250039" </w:instrText>
          </w:r>
          <w:r>
            <w:fldChar w:fldCharType="separate"/>
          </w:r>
          <w:r>
            <w:t>一、前</w:t>
          </w:r>
          <w:r>
            <w:rPr>
              <w:spacing w:val="-1"/>
            </w:rPr>
            <w:t xml:space="preserve"> </w:t>
          </w:r>
          <w:r>
            <w:t>言</w:t>
          </w:r>
          <w:r>
            <w:tab/>
          </w:r>
          <w:r>
            <w:rPr>
              <w:rFonts w:ascii="Times New Roman" w:eastAsia="Times New Roman"/>
            </w:rPr>
            <w:t>1</w:t>
          </w:r>
          <w:r>
            <w:rPr>
              <w:rFonts w:ascii="Times New Roman" w:eastAsia="Times New Roman"/>
            </w:rPr>
            <w:fldChar w:fldCharType="end"/>
          </w:r>
        </w:p>
        <w:p>
          <w:pPr>
            <w:pStyle w:val="5"/>
            <w:tabs>
              <w:tab w:val="right" w:leader="dot" w:pos="9069"/>
            </w:tabs>
            <w:spacing w:before="42"/>
            <w:rPr>
              <w:rFonts w:ascii="Times New Roman" w:eastAsia="Times New Roman"/>
            </w:rPr>
          </w:pPr>
          <w:r>
            <w:fldChar w:fldCharType="begin"/>
          </w:r>
          <w:r>
            <w:instrText xml:space="preserve"> HYPERLINK \l "_TOC_250038" </w:instrText>
          </w:r>
          <w:r>
            <w:fldChar w:fldCharType="separate"/>
          </w:r>
          <w:r>
            <w:t>二、工程概况及工程建设水土流失问题</w:t>
          </w:r>
          <w:r>
            <w:tab/>
          </w:r>
          <w:r>
            <w:rPr>
              <w:rFonts w:ascii="Times New Roman" w:eastAsia="Times New Roman"/>
            </w:rPr>
            <w:t>3</w:t>
          </w:r>
          <w:r>
            <w:rPr>
              <w:rFonts w:ascii="Times New Roman" w:eastAsia="Times New Roman"/>
            </w:rPr>
            <w:fldChar w:fldCharType="end"/>
          </w:r>
        </w:p>
        <w:p>
          <w:pPr>
            <w:pStyle w:val="6"/>
            <w:tabs>
              <w:tab w:val="right" w:leader="dot" w:pos="9069"/>
            </w:tabs>
            <w:rPr>
              <w:rFonts w:ascii="Times New Roman" w:eastAsia="Times New Roman"/>
            </w:rPr>
          </w:pPr>
          <w:r>
            <w:fldChar w:fldCharType="begin"/>
          </w:r>
          <w:r>
            <w:instrText xml:space="preserve"> HYPERLINK \l "_TOC_250037" </w:instrText>
          </w:r>
          <w:r>
            <w:fldChar w:fldCharType="separate"/>
          </w:r>
          <w:r>
            <w:rPr>
              <w:rFonts w:ascii="Times New Roman" w:eastAsia="Times New Roman"/>
            </w:rPr>
            <w:t>1</w:t>
          </w:r>
          <w:r>
            <w:t>、工程概况</w:t>
          </w:r>
          <w:r>
            <w:tab/>
          </w:r>
          <w:r>
            <w:rPr>
              <w:rFonts w:ascii="Times New Roman" w:eastAsia="Times New Roman"/>
            </w:rPr>
            <w:t>3</w:t>
          </w:r>
          <w:r>
            <w:rPr>
              <w:rFonts w:ascii="Times New Roman" w:eastAsia="Times New Roman"/>
            </w:rPr>
            <w:fldChar w:fldCharType="end"/>
          </w:r>
        </w:p>
        <w:p>
          <w:pPr>
            <w:pStyle w:val="6"/>
            <w:tabs>
              <w:tab w:val="right" w:leader="dot" w:pos="9069"/>
            </w:tabs>
            <w:rPr>
              <w:rFonts w:ascii="Times New Roman" w:eastAsia="Times New Roman"/>
            </w:rPr>
          </w:pPr>
          <w:r>
            <w:rPr>
              <w:rFonts w:ascii="Times New Roman" w:eastAsia="Times New Roman"/>
            </w:rPr>
            <w:t>2</w:t>
          </w:r>
          <w:r>
            <w:t>、项目区自然和水土流失情况</w:t>
          </w:r>
          <w:r>
            <w:tab/>
          </w:r>
          <w:r>
            <w:rPr>
              <w:rFonts w:ascii="Times New Roman" w:eastAsia="Times New Roman"/>
            </w:rPr>
            <w:t>3</w:t>
          </w:r>
        </w:p>
        <w:p>
          <w:pPr>
            <w:pStyle w:val="6"/>
            <w:tabs>
              <w:tab w:val="right" w:leader="dot" w:pos="9069"/>
            </w:tabs>
            <w:rPr>
              <w:rFonts w:ascii="Times New Roman" w:eastAsia="Times New Roman"/>
            </w:rPr>
          </w:pPr>
          <w:r>
            <w:fldChar w:fldCharType="begin"/>
          </w:r>
          <w:r>
            <w:instrText xml:space="preserve"> HYPERLINK \l "_TOC_250036" </w:instrText>
          </w:r>
          <w:r>
            <w:fldChar w:fldCharType="separate"/>
          </w:r>
          <w:r>
            <w:rPr>
              <w:rFonts w:ascii="Times New Roman" w:eastAsia="Times New Roman"/>
            </w:rPr>
            <w:t>3</w:t>
          </w:r>
          <w:r>
            <w:t>、工程建设水土流失问题</w:t>
          </w:r>
          <w:r>
            <w:tab/>
          </w:r>
          <w:r>
            <w:rPr>
              <w:rFonts w:ascii="Times New Roman" w:eastAsia="Times New Roman"/>
            </w:rPr>
            <w:t>6</w:t>
          </w:r>
          <w:r>
            <w:rPr>
              <w:rFonts w:ascii="Times New Roman" w:eastAsia="Times New Roman"/>
            </w:rPr>
            <w:fldChar w:fldCharType="end"/>
          </w:r>
        </w:p>
        <w:p>
          <w:pPr>
            <w:pStyle w:val="5"/>
            <w:tabs>
              <w:tab w:val="right" w:leader="dot" w:pos="9069"/>
            </w:tabs>
            <w:rPr>
              <w:rFonts w:ascii="Times New Roman" w:eastAsia="Times New Roman"/>
            </w:rPr>
          </w:pPr>
          <w:r>
            <w:fldChar w:fldCharType="begin"/>
          </w:r>
          <w:r>
            <w:instrText xml:space="preserve"> HYPERLINK \l "_TOC_250035" </w:instrText>
          </w:r>
          <w:r>
            <w:fldChar w:fldCharType="separate"/>
          </w:r>
          <w:r>
            <w:t>三、水土保持方案和设计情况</w:t>
          </w:r>
          <w:r>
            <w:tab/>
          </w:r>
          <w:r>
            <w:rPr>
              <w:rFonts w:ascii="Times New Roman" w:eastAsia="Times New Roman"/>
            </w:rPr>
            <w:t>8</w:t>
          </w:r>
          <w:r>
            <w:rPr>
              <w:rFonts w:ascii="Times New Roman" w:eastAsia="Times New Roman"/>
            </w:rPr>
            <w:fldChar w:fldCharType="end"/>
          </w:r>
        </w:p>
        <w:p>
          <w:pPr>
            <w:pStyle w:val="6"/>
            <w:tabs>
              <w:tab w:val="right" w:leader="dot" w:pos="9069"/>
            </w:tabs>
            <w:rPr>
              <w:rFonts w:ascii="Times New Roman" w:eastAsia="Times New Roman"/>
            </w:rPr>
          </w:pPr>
          <w:r>
            <w:fldChar w:fldCharType="begin"/>
          </w:r>
          <w:r>
            <w:instrText xml:space="preserve"> HYPERLINK \l "_TOC_250034" </w:instrText>
          </w:r>
          <w:r>
            <w:fldChar w:fldCharType="separate"/>
          </w:r>
          <w:r>
            <w:rPr>
              <w:rFonts w:ascii="Times New Roman" w:eastAsia="Times New Roman"/>
            </w:rPr>
            <w:t>1</w:t>
          </w:r>
          <w:r>
            <w:t>、方案报批和工程设计过程</w:t>
          </w:r>
          <w:r>
            <w:tab/>
          </w:r>
          <w:r>
            <w:rPr>
              <w:rFonts w:ascii="Times New Roman" w:eastAsia="Times New Roman"/>
            </w:rPr>
            <w:t>8</w:t>
          </w:r>
          <w:r>
            <w:rPr>
              <w:rFonts w:ascii="Times New Roman" w:eastAsia="Times New Roman"/>
            </w:rPr>
            <w:fldChar w:fldCharType="end"/>
          </w:r>
        </w:p>
        <w:p>
          <w:pPr>
            <w:pStyle w:val="6"/>
            <w:tabs>
              <w:tab w:val="right" w:leader="dot" w:pos="9069"/>
            </w:tabs>
            <w:rPr>
              <w:rFonts w:ascii="Times New Roman" w:eastAsia="Times New Roman"/>
            </w:rPr>
          </w:pPr>
          <w:r>
            <w:fldChar w:fldCharType="begin"/>
          </w:r>
          <w:r>
            <w:instrText xml:space="preserve"> HYPERLINK \l "_TOC_250033" </w:instrText>
          </w:r>
          <w:r>
            <w:fldChar w:fldCharType="separate"/>
          </w:r>
          <w:r>
            <w:rPr>
              <w:rFonts w:ascii="Times New Roman" w:eastAsia="Times New Roman"/>
            </w:rPr>
            <w:t>2</w:t>
          </w:r>
          <w:r>
            <w:t>、水土保持设计情况</w:t>
          </w:r>
          <w:r>
            <w:tab/>
          </w:r>
          <w:r>
            <w:rPr>
              <w:rFonts w:ascii="Times New Roman" w:eastAsia="Times New Roman"/>
            </w:rPr>
            <w:t>8</w:t>
          </w:r>
          <w:r>
            <w:rPr>
              <w:rFonts w:ascii="Times New Roman" w:eastAsia="Times New Roman"/>
            </w:rPr>
            <w:fldChar w:fldCharType="end"/>
          </w:r>
        </w:p>
        <w:p>
          <w:pPr>
            <w:pStyle w:val="5"/>
            <w:tabs>
              <w:tab w:val="right" w:leader="dot" w:pos="9069"/>
            </w:tabs>
            <w:rPr>
              <w:rFonts w:ascii="Times New Roman" w:eastAsia="Times New Roman"/>
            </w:rPr>
          </w:pPr>
          <w:r>
            <w:fldChar w:fldCharType="begin"/>
          </w:r>
          <w:r>
            <w:instrText xml:space="preserve"> HYPERLINK \l "_TOC_250032" </w:instrText>
          </w:r>
          <w:r>
            <w:fldChar w:fldCharType="separate"/>
          </w:r>
          <w:r>
            <w:t>四、水土保持设施建设情况</w:t>
          </w:r>
          <w:r>
            <w:tab/>
          </w:r>
          <w:r>
            <w:rPr>
              <w:rFonts w:ascii="Times New Roman" w:eastAsia="Times New Roman"/>
            </w:rPr>
            <w:t>12</w:t>
          </w:r>
          <w:r>
            <w:rPr>
              <w:rFonts w:ascii="Times New Roman" w:eastAsia="Times New Roman"/>
            </w:rPr>
            <w:fldChar w:fldCharType="end"/>
          </w:r>
        </w:p>
        <w:p>
          <w:pPr>
            <w:pStyle w:val="6"/>
            <w:tabs>
              <w:tab w:val="right" w:leader="dot" w:pos="9069"/>
            </w:tabs>
            <w:rPr>
              <w:rFonts w:ascii="Times New Roman" w:eastAsia="Times New Roman"/>
            </w:rPr>
          </w:pPr>
          <w:r>
            <w:fldChar w:fldCharType="begin"/>
          </w:r>
          <w:r>
            <w:instrText xml:space="preserve"> HYPERLINK \l "_TOC_250031" </w:instrText>
          </w:r>
          <w:r>
            <w:fldChar w:fldCharType="separate"/>
          </w:r>
          <w:r>
            <w:rPr>
              <w:rFonts w:ascii="Times New Roman" w:eastAsia="Times New Roman"/>
            </w:rPr>
            <w:t>1</w:t>
          </w:r>
          <w:r>
            <w:t>、水土流失防治范围</w:t>
          </w:r>
          <w:r>
            <w:tab/>
          </w:r>
          <w:r>
            <w:rPr>
              <w:rFonts w:ascii="Times New Roman" w:eastAsia="Times New Roman"/>
            </w:rPr>
            <w:t>12</w:t>
          </w:r>
          <w:r>
            <w:rPr>
              <w:rFonts w:ascii="Times New Roman" w:eastAsia="Times New Roman"/>
            </w:rPr>
            <w:fldChar w:fldCharType="end"/>
          </w:r>
        </w:p>
        <w:p>
          <w:pPr>
            <w:pStyle w:val="6"/>
            <w:tabs>
              <w:tab w:val="right" w:leader="dot" w:pos="9069"/>
            </w:tabs>
            <w:rPr>
              <w:rFonts w:ascii="Times New Roman" w:eastAsia="Times New Roman"/>
            </w:rPr>
          </w:pPr>
          <w:r>
            <w:fldChar w:fldCharType="begin"/>
          </w:r>
          <w:r>
            <w:instrText xml:space="preserve"> HYPERLINK \l "_TOC_250030" </w:instrText>
          </w:r>
          <w:r>
            <w:fldChar w:fldCharType="separate"/>
          </w:r>
          <w:r>
            <w:rPr>
              <w:rFonts w:ascii="Times New Roman" w:eastAsia="Times New Roman"/>
            </w:rPr>
            <w:t>2</w:t>
          </w:r>
          <w:r>
            <w:t>、水土保持措施措施总体布局评估</w:t>
          </w:r>
          <w:r>
            <w:tab/>
          </w:r>
          <w:r>
            <w:rPr>
              <w:rFonts w:ascii="Times New Roman" w:eastAsia="Times New Roman"/>
            </w:rPr>
            <w:t>12</w:t>
          </w:r>
          <w:r>
            <w:rPr>
              <w:rFonts w:ascii="Times New Roman" w:eastAsia="Times New Roman"/>
            </w:rPr>
            <w:fldChar w:fldCharType="end"/>
          </w:r>
        </w:p>
        <w:p>
          <w:pPr>
            <w:pStyle w:val="6"/>
            <w:tabs>
              <w:tab w:val="right" w:leader="dot" w:pos="9069"/>
            </w:tabs>
            <w:rPr>
              <w:rFonts w:ascii="Times New Roman" w:eastAsia="Times New Roman"/>
            </w:rPr>
          </w:pPr>
          <w:r>
            <w:fldChar w:fldCharType="begin"/>
          </w:r>
          <w:r>
            <w:instrText xml:space="preserve"> HYPERLINK \l "_TOC_250029" </w:instrText>
          </w:r>
          <w:r>
            <w:fldChar w:fldCharType="separate"/>
          </w:r>
          <w:r>
            <w:rPr>
              <w:rFonts w:ascii="Times New Roman" w:eastAsia="Times New Roman"/>
            </w:rPr>
            <w:t>3</w:t>
          </w:r>
          <w:r>
            <w:t>、水土保持设施完成情况</w:t>
          </w:r>
          <w:r>
            <w:tab/>
          </w:r>
          <w:r>
            <w:rPr>
              <w:rFonts w:ascii="Times New Roman" w:eastAsia="Times New Roman"/>
            </w:rPr>
            <w:t>13</w:t>
          </w:r>
          <w:r>
            <w:rPr>
              <w:rFonts w:ascii="Times New Roman" w:eastAsia="Times New Roman"/>
            </w:rPr>
            <w:fldChar w:fldCharType="end"/>
          </w:r>
        </w:p>
        <w:p>
          <w:pPr>
            <w:pStyle w:val="6"/>
            <w:tabs>
              <w:tab w:val="right" w:leader="dot" w:pos="9069"/>
            </w:tabs>
            <w:rPr>
              <w:rFonts w:ascii="Times New Roman" w:eastAsia="Times New Roman"/>
            </w:rPr>
          </w:pPr>
          <w:r>
            <w:fldChar w:fldCharType="begin"/>
          </w:r>
          <w:r>
            <w:instrText xml:space="preserve"> HYPERLINK \l "_TOC_250028" </w:instrText>
          </w:r>
          <w:r>
            <w:fldChar w:fldCharType="separate"/>
          </w:r>
          <w:r>
            <w:rPr>
              <w:rFonts w:ascii="Times New Roman" w:eastAsia="Times New Roman"/>
            </w:rPr>
            <w:t>4</w:t>
          </w:r>
          <w:r>
            <w:t>、水土保持投资完成情况</w:t>
          </w:r>
          <w:r>
            <w:tab/>
          </w:r>
          <w:r>
            <w:rPr>
              <w:rFonts w:ascii="Times New Roman" w:eastAsia="Times New Roman"/>
            </w:rPr>
            <w:t>13</w:t>
          </w:r>
          <w:r>
            <w:rPr>
              <w:rFonts w:ascii="Times New Roman" w:eastAsia="Times New Roman"/>
            </w:rPr>
            <w:fldChar w:fldCharType="end"/>
          </w:r>
        </w:p>
        <w:p>
          <w:pPr>
            <w:pStyle w:val="5"/>
            <w:tabs>
              <w:tab w:val="right" w:leader="dot" w:pos="9069"/>
            </w:tabs>
            <w:rPr>
              <w:rFonts w:ascii="Times New Roman" w:eastAsia="Times New Roman"/>
            </w:rPr>
          </w:pPr>
          <w:r>
            <w:fldChar w:fldCharType="begin"/>
          </w:r>
          <w:r>
            <w:instrText xml:space="preserve"> HYPERLINK \l "_TOC_250027" </w:instrText>
          </w:r>
          <w:r>
            <w:fldChar w:fldCharType="separate"/>
          </w:r>
          <w:r>
            <w:t>五、水土保持工程质量评价</w:t>
          </w:r>
          <w:r>
            <w:tab/>
          </w:r>
          <w:r>
            <w:rPr>
              <w:rFonts w:ascii="Times New Roman" w:eastAsia="Times New Roman"/>
            </w:rPr>
            <w:t>15</w:t>
          </w:r>
          <w:r>
            <w:rPr>
              <w:rFonts w:ascii="Times New Roman" w:eastAsia="Times New Roman"/>
            </w:rPr>
            <w:fldChar w:fldCharType="end"/>
          </w:r>
        </w:p>
        <w:p>
          <w:pPr>
            <w:pStyle w:val="6"/>
            <w:tabs>
              <w:tab w:val="right" w:leader="dot" w:pos="9069"/>
            </w:tabs>
            <w:rPr>
              <w:rFonts w:ascii="Times New Roman" w:eastAsia="Times New Roman"/>
            </w:rPr>
          </w:pPr>
          <w:r>
            <w:fldChar w:fldCharType="begin"/>
          </w:r>
          <w:r>
            <w:instrText xml:space="preserve"> HYPERLINK \l "_TOC_250026" </w:instrText>
          </w:r>
          <w:r>
            <w:fldChar w:fldCharType="separate"/>
          </w:r>
          <w:r>
            <w:rPr>
              <w:rFonts w:ascii="Times New Roman" w:eastAsia="Times New Roman"/>
            </w:rPr>
            <w:t>1</w:t>
          </w:r>
          <w:r>
            <w:t>、水土保持工程施工质量管理</w:t>
          </w:r>
          <w:r>
            <w:tab/>
          </w:r>
          <w:r>
            <w:rPr>
              <w:rFonts w:ascii="Times New Roman" w:eastAsia="Times New Roman"/>
            </w:rPr>
            <w:t>15</w:t>
          </w:r>
          <w:r>
            <w:rPr>
              <w:rFonts w:ascii="Times New Roman" w:eastAsia="Times New Roman"/>
            </w:rPr>
            <w:fldChar w:fldCharType="end"/>
          </w:r>
        </w:p>
        <w:p>
          <w:pPr>
            <w:pStyle w:val="6"/>
            <w:tabs>
              <w:tab w:val="right" w:leader="dot" w:pos="9069"/>
            </w:tabs>
            <w:rPr>
              <w:rFonts w:ascii="Times New Roman" w:eastAsia="Times New Roman"/>
            </w:rPr>
          </w:pPr>
          <w:r>
            <w:fldChar w:fldCharType="begin"/>
          </w:r>
          <w:r>
            <w:instrText xml:space="preserve"> HYPERLINK \l "_TOC_250025" </w:instrText>
          </w:r>
          <w:r>
            <w:fldChar w:fldCharType="separate"/>
          </w:r>
          <w:r>
            <w:rPr>
              <w:rFonts w:ascii="Times New Roman" w:eastAsia="Times New Roman"/>
            </w:rPr>
            <w:t>2</w:t>
          </w:r>
          <w:r>
            <w:t>、水土保持工程质量评价</w:t>
          </w:r>
          <w:r>
            <w:tab/>
          </w:r>
          <w:r>
            <w:rPr>
              <w:rFonts w:ascii="Times New Roman" w:eastAsia="Times New Roman"/>
            </w:rPr>
            <w:t>18</w:t>
          </w:r>
          <w:r>
            <w:rPr>
              <w:rFonts w:ascii="Times New Roman" w:eastAsia="Times New Roman"/>
            </w:rPr>
            <w:fldChar w:fldCharType="end"/>
          </w:r>
        </w:p>
        <w:p>
          <w:pPr>
            <w:pStyle w:val="6"/>
            <w:tabs>
              <w:tab w:val="right" w:leader="dot" w:pos="9069"/>
            </w:tabs>
            <w:rPr>
              <w:rFonts w:ascii="Times New Roman" w:eastAsia="Times New Roman"/>
            </w:rPr>
          </w:pPr>
          <w:r>
            <w:fldChar w:fldCharType="begin"/>
          </w:r>
          <w:r>
            <w:instrText xml:space="preserve"> HYPERLINK \l "_TOC_250024" </w:instrText>
          </w:r>
          <w:r>
            <w:fldChar w:fldCharType="separate"/>
          </w:r>
          <w:r>
            <w:rPr>
              <w:rFonts w:ascii="Times New Roman" w:eastAsia="Times New Roman"/>
            </w:rPr>
            <w:t>3</w:t>
          </w:r>
          <w:r>
            <w:t>、质量评定</w:t>
          </w:r>
          <w:r>
            <w:tab/>
          </w:r>
          <w:r>
            <w:rPr>
              <w:rFonts w:ascii="Times New Roman" w:eastAsia="Times New Roman"/>
            </w:rPr>
            <w:t>20</w:t>
          </w:r>
          <w:r>
            <w:rPr>
              <w:rFonts w:ascii="Times New Roman" w:eastAsia="Times New Roman"/>
            </w:rPr>
            <w:fldChar w:fldCharType="end"/>
          </w:r>
        </w:p>
        <w:p>
          <w:pPr>
            <w:pStyle w:val="6"/>
            <w:tabs>
              <w:tab w:val="right" w:leader="dot" w:pos="9069"/>
            </w:tabs>
            <w:spacing w:before="42"/>
            <w:rPr>
              <w:rFonts w:ascii="Times New Roman" w:eastAsia="Times New Roman"/>
            </w:rPr>
          </w:pPr>
          <w:r>
            <w:fldChar w:fldCharType="begin"/>
          </w:r>
          <w:r>
            <w:instrText xml:space="preserve"> HYPERLINK \l "_TOC_250023" </w:instrText>
          </w:r>
          <w:r>
            <w:fldChar w:fldCharType="separate"/>
          </w:r>
          <w:r>
            <w:rPr>
              <w:rFonts w:ascii="Times New Roman" w:eastAsia="Times New Roman"/>
            </w:rPr>
            <w:t>4</w:t>
          </w:r>
          <w:r>
            <w:t>、结论</w:t>
          </w:r>
          <w:r>
            <w:tab/>
          </w:r>
          <w:r>
            <w:rPr>
              <w:rFonts w:ascii="Times New Roman" w:eastAsia="Times New Roman"/>
            </w:rPr>
            <w:t>20</w:t>
          </w:r>
          <w:r>
            <w:rPr>
              <w:rFonts w:ascii="Times New Roman" w:eastAsia="Times New Roman"/>
            </w:rPr>
            <w:fldChar w:fldCharType="end"/>
          </w:r>
        </w:p>
        <w:p>
          <w:pPr>
            <w:pStyle w:val="5"/>
            <w:tabs>
              <w:tab w:val="right" w:leader="dot" w:pos="9069"/>
            </w:tabs>
            <w:rPr>
              <w:rFonts w:ascii="Times New Roman" w:eastAsia="Times New Roman"/>
            </w:rPr>
          </w:pPr>
          <w:r>
            <w:fldChar w:fldCharType="begin"/>
          </w:r>
          <w:r>
            <w:instrText xml:space="preserve"> HYPERLINK \l "_TOC_250022" </w:instrText>
          </w:r>
          <w:r>
            <w:fldChar w:fldCharType="separate"/>
          </w:r>
          <w:r>
            <w:t>六、水土保持监测</w:t>
          </w:r>
          <w:r>
            <w:tab/>
          </w:r>
          <w:r>
            <w:rPr>
              <w:rFonts w:ascii="Times New Roman" w:eastAsia="Times New Roman"/>
            </w:rPr>
            <w:t>21</w:t>
          </w:r>
          <w:r>
            <w:rPr>
              <w:rFonts w:ascii="Times New Roman" w:eastAsia="Times New Roman"/>
            </w:rPr>
            <w:fldChar w:fldCharType="end"/>
          </w:r>
        </w:p>
        <w:p>
          <w:pPr>
            <w:pStyle w:val="5"/>
            <w:tabs>
              <w:tab w:val="right" w:leader="dot" w:pos="9069"/>
            </w:tabs>
            <w:rPr>
              <w:rFonts w:ascii="Times New Roman" w:eastAsia="Times New Roman"/>
            </w:rPr>
          </w:pPr>
          <w:r>
            <w:fldChar w:fldCharType="begin"/>
          </w:r>
          <w:r>
            <w:instrText xml:space="preserve"> HYPERLINK \l "_TOC_250021" </w:instrText>
          </w:r>
          <w:r>
            <w:fldChar w:fldCharType="separate"/>
          </w:r>
          <w:r>
            <w:t>七、水土保持监理</w:t>
          </w:r>
          <w:r>
            <w:tab/>
          </w:r>
          <w:r>
            <w:rPr>
              <w:rFonts w:ascii="Times New Roman" w:eastAsia="Times New Roman"/>
            </w:rPr>
            <w:t>22</w:t>
          </w:r>
          <w:r>
            <w:rPr>
              <w:rFonts w:ascii="Times New Roman" w:eastAsia="Times New Roman"/>
            </w:rPr>
            <w:fldChar w:fldCharType="end"/>
          </w:r>
        </w:p>
        <w:p>
          <w:pPr>
            <w:pStyle w:val="6"/>
            <w:tabs>
              <w:tab w:val="right" w:leader="dot" w:pos="9069"/>
            </w:tabs>
            <w:rPr>
              <w:rFonts w:ascii="Times New Roman" w:eastAsia="Times New Roman"/>
            </w:rPr>
          </w:pPr>
          <w:r>
            <w:fldChar w:fldCharType="begin"/>
          </w:r>
          <w:r>
            <w:instrText xml:space="preserve"> HYPERLINK \l "_TOC_250020" </w:instrText>
          </w:r>
          <w:r>
            <w:fldChar w:fldCharType="separate"/>
          </w:r>
          <w:r>
            <w:rPr>
              <w:rFonts w:ascii="Times New Roman" w:eastAsia="Times New Roman"/>
            </w:rPr>
            <w:t>1</w:t>
          </w:r>
          <w:r>
            <w:t>、工作的范围、内容和职责</w:t>
          </w:r>
          <w:r>
            <w:tab/>
          </w:r>
          <w:r>
            <w:rPr>
              <w:rFonts w:ascii="Times New Roman" w:eastAsia="Times New Roman"/>
            </w:rPr>
            <w:t>22</w:t>
          </w:r>
          <w:r>
            <w:rPr>
              <w:rFonts w:ascii="Times New Roman" w:eastAsia="Times New Roman"/>
            </w:rPr>
            <w:fldChar w:fldCharType="end"/>
          </w:r>
        </w:p>
        <w:p>
          <w:pPr>
            <w:pStyle w:val="6"/>
            <w:tabs>
              <w:tab w:val="right" w:leader="dot" w:pos="9069"/>
            </w:tabs>
            <w:rPr>
              <w:rFonts w:ascii="Times New Roman" w:eastAsia="Times New Roman"/>
            </w:rPr>
          </w:pPr>
          <w:r>
            <w:fldChar w:fldCharType="begin"/>
          </w:r>
          <w:r>
            <w:instrText xml:space="preserve"> HYPERLINK \l "_TOC_250019" </w:instrText>
          </w:r>
          <w:r>
            <w:fldChar w:fldCharType="separate"/>
          </w:r>
          <w:r>
            <w:rPr>
              <w:rFonts w:ascii="Times New Roman" w:eastAsia="Times New Roman"/>
            </w:rPr>
            <w:t>2</w:t>
          </w:r>
          <w:r>
            <w:t>、质量控制</w:t>
          </w:r>
          <w:r>
            <w:tab/>
          </w:r>
          <w:r>
            <w:rPr>
              <w:rFonts w:ascii="Times New Roman" w:eastAsia="Times New Roman"/>
            </w:rPr>
            <w:t>23</w:t>
          </w:r>
          <w:r>
            <w:rPr>
              <w:rFonts w:ascii="Times New Roman" w:eastAsia="Times New Roman"/>
            </w:rPr>
            <w:fldChar w:fldCharType="end"/>
          </w:r>
        </w:p>
        <w:p>
          <w:pPr>
            <w:pStyle w:val="6"/>
            <w:tabs>
              <w:tab w:val="right" w:leader="dot" w:pos="9069"/>
            </w:tabs>
            <w:rPr>
              <w:rFonts w:ascii="Times New Roman" w:eastAsia="Times New Roman"/>
            </w:rPr>
          </w:pPr>
          <w:r>
            <w:fldChar w:fldCharType="begin"/>
          </w:r>
          <w:r>
            <w:instrText xml:space="preserve"> HYPERLINK \l "_TOC_250018" </w:instrText>
          </w:r>
          <w:r>
            <w:fldChar w:fldCharType="separate"/>
          </w:r>
          <w:r>
            <w:rPr>
              <w:rFonts w:ascii="Times New Roman" w:eastAsia="Times New Roman"/>
            </w:rPr>
            <w:t>3</w:t>
          </w:r>
          <w:r>
            <w:t>、进度控制</w:t>
          </w:r>
          <w:r>
            <w:tab/>
          </w:r>
          <w:r>
            <w:rPr>
              <w:rFonts w:ascii="Times New Roman" w:eastAsia="Times New Roman"/>
            </w:rPr>
            <w:t>24</w:t>
          </w:r>
          <w:r>
            <w:rPr>
              <w:rFonts w:ascii="Times New Roman" w:eastAsia="Times New Roman"/>
            </w:rPr>
            <w:fldChar w:fldCharType="end"/>
          </w:r>
        </w:p>
        <w:p>
          <w:pPr>
            <w:pStyle w:val="6"/>
            <w:tabs>
              <w:tab w:val="right" w:leader="dot" w:pos="9069"/>
            </w:tabs>
            <w:rPr>
              <w:rFonts w:ascii="Times New Roman" w:eastAsia="Times New Roman"/>
            </w:rPr>
          </w:pPr>
          <w:r>
            <w:fldChar w:fldCharType="begin"/>
          </w:r>
          <w:r>
            <w:instrText xml:space="preserve"> HYPERLINK \l "_TOC_250017" </w:instrText>
          </w:r>
          <w:r>
            <w:fldChar w:fldCharType="separate"/>
          </w:r>
          <w:r>
            <w:rPr>
              <w:rFonts w:ascii="Times New Roman" w:eastAsia="Times New Roman"/>
            </w:rPr>
            <w:t>4</w:t>
          </w:r>
          <w:r>
            <w:t>、投资控制</w:t>
          </w:r>
          <w:r>
            <w:tab/>
          </w:r>
          <w:r>
            <w:rPr>
              <w:rFonts w:ascii="Times New Roman" w:eastAsia="Times New Roman"/>
            </w:rPr>
            <w:t>25</w:t>
          </w:r>
          <w:r>
            <w:rPr>
              <w:rFonts w:ascii="Times New Roman" w:eastAsia="Times New Roman"/>
            </w:rPr>
            <w:fldChar w:fldCharType="end"/>
          </w:r>
        </w:p>
        <w:p>
          <w:pPr>
            <w:pStyle w:val="6"/>
            <w:tabs>
              <w:tab w:val="right" w:leader="dot" w:pos="9069"/>
            </w:tabs>
            <w:rPr>
              <w:rFonts w:ascii="Times New Roman" w:eastAsia="Times New Roman"/>
            </w:rPr>
          </w:pPr>
          <w:r>
            <w:fldChar w:fldCharType="begin"/>
          </w:r>
          <w:r>
            <w:instrText xml:space="preserve"> HYPERLINK \l "_TOC_250016" </w:instrText>
          </w:r>
          <w:r>
            <w:fldChar w:fldCharType="separate"/>
          </w:r>
          <w:r>
            <w:rPr>
              <w:rFonts w:ascii="Times New Roman" w:eastAsia="Times New Roman"/>
            </w:rPr>
            <w:t>5</w:t>
          </w:r>
          <w:r>
            <w:t>、合同管理</w:t>
          </w:r>
          <w:r>
            <w:tab/>
          </w:r>
          <w:r>
            <w:rPr>
              <w:rFonts w:ascii="Times New Roman" w:eastAsia="Times New Roman"/>
            </w:rPr>
            <w:t>25</w:t>
          </w:r>
          <w:r>
            <w:rPr>
              <w:rFonts w:ascii="Times New Roman" w:eastAsia="Times New Roman"/>
            </w:rPr>
            <w:fldChar w:fldCharType="end"/>
          </w:r>
        </w:p>
        <w:p>
          <w:pPr>
            <w:pStyle w:val="6"/>
            <w:tabs>
              <w:tab w:val="right" w:leader="dot" w:pos="9069"/>
            </w:tabs>
            <w:rPr>
              <w:rFonts w:ascii="Times New Roman" w:eastAsia="Times New Roman"/>
            </w:rPr>
          </w:pPr>
          <w:r>
            <w:fldChar w:fldCharType="begin"/>
          </w:r>
          <w:r>
            <w:instrText xml:space="preserve"> HYPERLINK \l "_TOC_250015" </w:instrText>
          </w:r>
          <w:r>
            <w:fldChar w:fldCharType="separate"/>
          </w:r>
          <w:r>
            <w:rPr>
              <w:rFonts w:ascii="Times New Roman" w:eastAsia="Times New Roman"/>
            </w:rPr>
            <w:t>6</w:t>
          </w:r>
          <w:r>
            <w:t>、信息管理</w:t>
          </w:r>
          <w:r>
            <w:tab/>
          </w:r>
          <w:r>
            <w:rPr>
              <w:rFonts w:ascii="Times New Roman" w:eastAsia="Times New Roman"/>
            </w:rPr>
            <w:t>26</w:t>
          </w:r>
          <w:r>
            <w:rPr>
              <w:rFonts w:ascii="Times New Roman" w:eastAsia="Times New Roman"/>
            </w:rPr>
            <w:fldChar w:fldCharType="end"/>
          </w:r>
        </w:p>
        <w:p>
          <w:pPr>
            <w:pStyle w:val="6"/>
            <w:tabs>
              <w:tab w:val="right" w:leader="dot" w:pos="9069"/>
            </w:tabs>
            <w:rPr>
              <w:rFonts w:ascii="Times New Roman" w:eastAsia="Times New Roman"/>
            </w:rPr>
          </w:pPr>
          <w:r>
            <w:fldChar w:fldCharType="begin"/>
          </w:r>
          <w:r>
            <w:instrText xml:space="preserve"> HYPERLINK \l "_TOC_250014" </w:instrText>
          </w:r>
          <w:r>
            <w:fldChar w:fldCharType="separate"/>
          </w:r>
          <w:r>
            <w:rPr>
              <w:rFonts w:ascii="Times New Roman" w:eastAsia="Times New Roman"/>
            </w:rPr>
            <w:t>7</w:t>
          </w:r>
          <w:r>
            <w:t>、组织协调</w:t>
          </w:r>
          <w:r>
            <w:tab/>
          </w:r>
          <w:r>
            <w:rPr>
              <w:rFonts w:ascii="Times New Roman" w:eastAsia="Times New Roman"/>
            </w:rPr>
            <w:t>26</w:t>
          </w:r>
          <w:r>
            <w:rPr>
              <w:rFonts w:ascii="Times New Roman" w:eastAsia="Times New Roman"/>
            </w:rPr>
            <w:fldChar w:fldCharType="end"/>
          </w:r>
        </w:p>
        <w:p>
          <w:pPr>
            <w:pStyle w:val="5"/>
            <w:tabs>
              <w:tab w:val="right" w:leader="dot" w:pos="9069"/>
            </w:tabs>
            <w:rPr>
              <w:rFonts w:ascii="Times New Roman" w:eastAsia="Times New Roman"/>
            </w:rPr>
          </w:pPr>
          <w:r>
            <w:fldChar w:fldCharType="begin"/>
          </w:r>
          <w:r>
            <w:instrText xml:space="preserve"> HYPERLINK \l "_TOC_250013" </w:instrText>
          </w:r>
          <w:r>
            <w:fldChar w:fldCharType="separate"/>
          </w:r>
          <w:r>
            <w:t>八、水行政主管部门监督检查意见落实情况</w:t>
          </w:r>
          <w:r>
            <w:tab/>
          </w:r>
          <w:r>
            <w:rPr>
              <w:rFonts w:ascii="Times New Roman" w:eastAsia="Times New Roman"/>
            </w:rPr>
            <w:t>27</w:t>
          </w:r>
          <w:r>
            <w:rPr>
              <w:rFonts w:ascii="Times New Roman" w:eastAsia="Times New Roman"/>
            </w:rPr>
            <w:fldChar w:fldCharType="end"/>
          </w:r>
        </w:p>
        <w:p>
          <w:pPr>
            <w:pStyle w:val="5"/>
            <w:tabs>
              <w:tab w:val="right" w:leader="dot" w:pos="9069"/>
            </w:tabs>
            <w:rPr>
              <w:rFonts w:ascii="Times New Roman" w:eastAsia="Times New Roman"/>
            </w:rPr>
          </w:pPr>
          <w:r>
            <w:fldChar w:fldCharType="begin"/>
          </w:r>
          <w:r>
            <w:instrText xml:space="preserve"> HYPERLINK \l "_TOC_250012" </w:instrText>
          </w:r>
          <w:r>
            <w:fldChar w:fldCharType="separate"/>
          </w:r>
          <w:r>
            <w:t>九、水土保持效果评价</w:t>
          </w:r>
          <w:r>
            <w:tab/>
          </w:r>
          <w:r>
            <w:rPr>
              <w:rFonts w:ascii="Times New Roman" w:eastAsia="Times New Roman"/>
            </w:rPr>
            <w:t>28</w:t>
          </w:r>
          <w:r>
            <w:rPr>
              <w:rFonts w:ascii="Times New Roman" w:eastAsia="Times New Roman"/>
            </w:rPr>
            <w:fldChar w:fldCharType="end"/>
          </w:r>
        </w:p>
        <w:p>
          <w:pPr>
            <w:pStyle w:val="6"/>
            <w:tabs>
              <w:tab w:val="right" w:leader="dot" w:pos="9069"/>
            </w:tabs>
            <w:rPr>
              <w:rFonts w:ascii="Times New Roman" w:eastAsia="Times New Roman"/>
            </w:rPr>
          </w:pPr>
          <w:r>
            <w:fldChar w:fldCharType="begin"/>
          </w:r>
          <w:r>
            <w:instrText xml:space="preserve"> HYPERLINK \l "_TOC_250011" </w:instrText>
          </w:r>
          <w:r>
            <w:fldChar w:fldCharType="separate"/>
          </w:r>
          <w:r>
            <w:rPr>
              <w:rFonts w:ascii="Times New Roman" w:eastAsia="Times New Roman"/>
            </w:rPr>
            <w:t>1</w:t>
          </w:r>
          <w:r>
            <w:t>、扰动土地整治率</w:t>
          </w:r>
          <w:r>
            <w:tab/>
          </w:r>
          <w:r>
            <w:rPr>
              <w:rFonts w:ascii="Times New Roman" w:eastAsia="Times New Roman"/>
            </w:rPr>
            <w:t>28</w:t>
          </w:r>
          <w:r>
            <w:rPr>
              <w:rFonts w:ascii="Times New Roman" w:eastAsia="Times New Roman"/>
            </w:rPr>
            <w:fldChar w:fldCharType="end"/>
          </w:r>
        </w:p>
        <w:p>
          <w:pPr>
            <w:pStyle w:val="6"/>
            <w:tabs>
              <w:tab w:val="right" w:leader="dot" w:pos="9069"/>
            </w:tabs>
            <w:rPr>
              <w:rFonts w:ascii="Times New Roman" w:eastAsia="Times New Roman"/>
            </w:rPr>
          </w:pPr>
          <w:r>
            <w:fldChar w:fldCharType="begin"/>
          </w:r>
          <w:r>
            <w:instrText xml:space="preserve"> HYPERLINK \l "_TOC_250010" </w:instrText>
          </w:r>
          <w:r>
            <w:fldChar w:fldCharType="separate"/>
          </w:r>
          <w:r>
            <w:rPr>
              <w:rFonts w:ascii="Times New Roman" w:eastAsia="Times New Roman"/>
            </w:rPr>
            <w:t>2</w:t>
          </w:r>
          <w:r>
            <w:t>、水土流失总治理度</w:t>
          </w:r>
          <w:r>
            <w:tab/>
          </w:r>
          <w:r>
            <w:rPr>
              <w:rFonts w:ascii="Times New Roman" w:eastAsia="Times New Roman"/>
            </w:rPr>
            <w:t>28</w:t>
          </w:r>
          <w:r>
            <w:rPr>
              <w:rFonts w:ascii="Times New Roman" w:eastAsia="Times New Roman"/>
            </w:rPr>
            <w:fldChar w:fldCharType="end"/>
          </w:r>
        </w:p>
        <w:p>
          <w:pPr>
            <w:pStyle w:val="6"/>
            <w:tabs>
              <w:tab w:val="right" w:leader="dot" w:pos="9069"/>
            </w:tabs>
            <w:rPr>
              <w:rFonts w:ascii="Times New Roman" w:eastAsia="Times New Roman"/>
            </w:rPr>
          </w:pPr>
          <w:r>
            <w:fldChar w:fldCharType="begin"/>
          </w:r>
          <w:r>
            <w:instrText xml:space="preserve"> HYPERLINK \l "_TOC_250009" </w:instrText>
          </w:r>
          <w:r>
            <w:fldChar w:fldCharType="separate"/>
          </w:r>
          <w:r>
            <w:rPr>
              <w:rFonts w:ascii="Times New Roman" w:eastAsia="Times New Roman"/>
            </w:rPr>
            <w:t>3</w:t>
          </w:r>
          <w:r>
            <w:t>、水土流失控制比</w:t>
          </w:r>
          <w:r>
            <w:tab/>
          </w:r>
          <w:r>
            <w:rPr>
              <w:rFonts w:ascii="Times New Roman" w:eastAsia="Times New Roman"/>
            </w:rPr>
            <w:t>28</w:t>
          </w:r>
          <w:r>
            <w:rPr>
              <w:rFonts w:ascii="Times New Roman" w:eastAsia="Times New Roman"/>
            </w:rPr>
            <w:fldChar w:fldCharType="end"/>
          </w:r>
        </w:p>
        <w:p>
          <w:pPr>
            <w:pStyle w:val="6"/>
            <w:tabs>
              <w:tab w:val="right" w:leader="dot" w:pos="9069"/>
            </w:tabs>
            <w:rPr>
              <w:rFonts w:ascii="Times New Roman" w:eastAsia="Times New Roman"/>
            </w:rPr>
          </w:pPr>
          <w:r>
            <w:fldChar w:fldCharType="begin"/>
          </w:r>
          <w:r>
            <w:instrText xml:space="preserve"> HYPERLINK \l "_TOC_250008" </w:instrText>
          </w:r>
          <w:r>
            <w:fldChar w:fldCharType="separate"/>
          </w:r>
          <w:r>
            <w:rPr>
              <w:rFonts w:ascii="Times New Roman" w:eastAsia="Times New Roman"/>
            </w:rPr>
            <w:t>4</w:t>
          </w:r>
          <w:r>
            <w:t>、拦渣率</w:t>
          </w:r>
          <w:r>
            <w:tab/>
          </w:r>
          <w:r>
            <w:rPr>
              <w:rFonts w:ascii="Times New Roman" w:eastAsia="Times New Roman"/>
            </w:rPr>
            <w:t>29</w:t>
          </w:r>
          <w:r>
            <w:rPr>
              <w:rFonts w:ascii="Times New Roman" w:eastAsia="Times New Roman"/>
            </w:rPr>
            <w:fldChar w:fldCharType="end"/>
          </w:r>
        </w:p>
        <w:p>
          <w:pPr>
            <w:pStyle w:val="6"/>
            <w:tabs>
              <w:tab w:val="right" w:leader="dot" w:pos="9069"/>
            </w:tabs>
            <w:spacing w:before="42"/>
            <w:rPr>
              <w:rFonts w:ascii="Times New Roman" w:eastAsia="Times New Roman"/>
            </w:rPr>
          </w:pPr>
          <w:r>
            <w:rPr>
              <w:rFonts w:ascii="Times New Roman" w:eastAsia="Times New Roman"/>
            </w:rPr>
            <w:t>5</w:t>
          </w:r>
          <w:r>
            <w:t>、林草植被恢复率和林草覆盖率</w:t>
          </w:r>
          <w:r>
            <w:tab/>
          </w:r>
          <w:r>
            <w:rPr>
              <w:rFonts w:ascii="Times New Roman" w:eastAsia="Times New Roman"/>
            </w:rPr>
            <w:t>29</w:t>
          </w:r>
        </w:p>
        <w:p>
          <w:pPr>
            <w:pStyle w:val="6"/>
            <w:tabs>
              <w:tab w:val="right" w:leader="dot" w:pos="9069"/>
            </w:tabs>
            <w:rPr>
              <w:rFonts w:ascii="Times New Roman" w:eastAsia="Times New Roman"/>
            </w:rPr>
          </w:pPr>
          <w:r>
            <w:fldChar w:fldCharType="begin"/>
          </w:r>
          <w:r>
            <w:instrText xml:space="preserve"> HYPERLINK \l "_TOC_250007" </w:instrText>
          </w:r>
          <w:r>
            <w:fldChar w:fldCharType="separate"/>
          </w:r>
          <w:r>
            <w:rPr>
              <w:rFonts w:ascii="Times New Roman" w:eastAsia="Times New Roman"/>
            </w:rPr>
            <w:t>6</w:t>
          </w:r>
          <w:r>
            <w:t>、批复的防治目标与实际完成情况对比</w:t>
          </w:r>
          <w:r>
            <w:tab/>
          </w:r>
          <w:r>
            <w:rPr>
              <w:rFonts w:ascii="Times New Roman" w:eastAsia="Times New Roman"/>
            </w:rPr>
            <w:t>29</w:t>
          </w:r>
          <w:r>
            <w:rPr>
              <w:rFonts w:ascii="Times New Roman" w:eastAsia="Times New Roman"/>
            </w:rPr>
            <w:fldChar w:fldCharType="end"/>
          </w:r>
        </w:p>
        <w:p>
          <w:pPr>
            <w:pStyle w:val="5"/>
            <w:tabs>
              <w:tab w:val="right" w:leader="dot" w:pos="9069"/>
            </w:tabs>
            <w:rPr>
              <w:rFonts w:ascii="Times New Roman" w:eastAsia="Times New Roman"/>
            </w:rPr>
          </w:pPr>
          <w:r>
            <w:fldChar w:fldCharType="begin"/>
          </w:r>
          <w:r>
            <w:instrText xml:space="preserve"> HYPERLINK \l "_TOC_250006" </w:instrText>
          </w:r>
          <w:r>
            <w:fldChar w:fldCharType="separate"/>
          </w:r>
          <w:r>
            <w:t>十、水土保持设施管理维护评价</w:t>
          </w:r>
          <w:r>
            <w:tab/>
          </w:r>
          <w:r>
            <w:rPr>
              <w:rFonts w:ascii="Times New Roman" w:eastAsia="Times New Roman"/>
            </w:rPr>
            <w:t>30</w:t>
          </w:r>
          <w:r>
            <w:rPr>
              <w:rFonts w:ascii="Times New Roman" w:eastAsia="Times New Roman"/>
            </w:rPr>
            <w:fldChar w:fldCharType="end"/>
          </w:r>
        </w:p>
        <w:p>
          <w:pPr>
            <w:pStyle w:val="5"/>
            <w:tabs>
              <w:tab w:val="right" w:leader="dot" w:pos="9069"/>
            </w:tabs>
            <w:rPr>
              <w:rFonts w:ascii="Times New Roman" w:eastAsia="Times New Roman"/>
            </w:rPr>
          </w:pPr>
          <w:r>
            <w:fldChar w:fldCharType="begin"/>
          </w:r>
          <w:r>
            <w:instrText xml:space="preserve"> HYPERLINK \l "_TOC_250005" </w:instrText>
          </w:r>
          <w:r>
            <w:fldChar w:fldCharType="separate"/>
          </w:r>
          <w:r>
            <w:t>十一、综合结论</w:t>
          </w:r>
          <w:r>
            <w:tab/>
          </w:r>
          <w:r>
            <w:rPr>
              <w:rFonts w:ascii="Times New Roman" w:eastAsia="Times New Roman"/>
            </w:rPr>
            <w:t>31</w:t>
          </w:r>
          <w:r>
            <w:rPr>
              <w:rFonts w:ascii="Times New Roman" w:eastAsia="Times New Roman"/>
            </w:rPr>
            <w:fldChar w:fldCharType="end"/>
          </w:r>
        </w:p>
        <w:p>
          <w:pPr>
            <w:pStyle w:val="5"/>
            <w:tabs>
              <w:tab w:val="right" w:leader="dot" w:pos="9069"/>
            </w:tabs>
            <w:rPr>
              <w:rFonts w:ascii="Times New Roman" w:eastAsia="Times New Roman"/>
            </w:rPr>
          </w:pPr>
          <w:r>
            <w:fldChar w:fldCharType="begin"/>
          </w:r>
          <w:r>
            <w:instrText xml:space="preserve"> HYPERLINK \l "_TOC_250004" </w:instrText>
          </w:r>
          <w:r>
            <w:fldChar w:fldCharType="separate"/>
          </w:r>
          <w:r>
            <w:t>十二、遗留问题及建议</w:t>
          </w:r>
          <w:r>
            <w:tab/>
          </w:r>
          <w:r>
            <w:rPr>
              <w:rFonts w:ascii="Times New Roman" w:eastAsia="Times New Roman"/>
            </w:rPr>
            <w:t>33</w:t>
          </w:r>
          <w:r>
            <w:rPr>
              <w:rFonts w:ascii="Times New Roman" w:eastAsia="Times New Roman"/>
            </w:rPr>
            <w:fldChar w:fldCharType="end"/>
          </w:r>
        </w:p>
        <w:p>
          <w:pPr>
            <w:pStyle w:val="6"/>
            <w:tabs>
              <w:tab w:val="right" w:leader="dot" w:pos="9069"/>
            </w:tabs>
            <w:rPr>
              <w:rFonts w:ascii="Times New Roman" w:eastAsia="Times New Roman"/>
            </w:rPr>
          </w:pPr>
          <w:r>
            <w:fldChar w:fldCharType="begin"/>
          </w:r>
          <w:r>
            <w:instrText xml:space="preserve"> HYPERLINK \l "_TOC_250003" </w:instrText>
          </w:r>
          <w:r>
            <w:fldChar w:fldCharType="separate"/>
          </w:r>
          <w:r>
            <w:rPr>
              <w:rFonts w:ascii="Times New Roman" w:eastAsia="Times New Roman"/>
            </w:rPr>
            <w:t>1</w:t>
          </w:r>
          <w:r>
            <w:t>、遗留问题</w:t>
          </w:r>
          <w:r>
            <w:tab/>
          </w:r>
          <w:r>
            <w:rPr>
              <w:rFonts w:ascii="Times New Roman" w:eastAsia="Times New Roman"/>
            </w:rPr>
            <w:t>33</w:t>
          </w:r>
          <w:r>
            <w:rPr>
              <w:rFonts w:ascii="Times New Roman" w:eastAsia="Times New Roman"/>
            </w:rPr>
            <w:fldChar w:fldCharType="end"/>
          </w:r>
        </w:p>
        <w:p>
          <w:pPr>
            <w:pStyle w:val="6"/>
            <w:tabs>
              <w:tab w:val="right" w:leader="dot" w:pos="9069"/>
            </w:tabs>
            <w:rPr>
              <w:rFonts w:ascii="Times New Roman" w:eastAsia="Times New Roman"/>
            </w:rPr>
          </w:pPr>
          <w:r>
            <w:fldChar w:fldCharType="begin"/>
          </w:r>
          <w:r>
            <w:instrText xml:space="preserve"> HYPERLINK \l "_TOC_250002" </w:instrText>
          </w:r>
          <w:r>
            <w:fldChar w:fldCharType="separate"/>
          </w:r>
          <w:r>
            <w:rPr>
              <w:rFonts w:ascii="Times New Roman" w:eastAsia="Times New Roman"/>
            </w:rPr>
            <w:t>2</w:t>
          </w:r>
          <w:r>
            <w:t>、建议</w:t>
          </w:r>
          <w:r>
            <w:tab/>
          </w:r>
          <w:r>
            <w:rPr>
              <w:rFonts w:ascii="Times New Roman" w:eastAsia="Times New Roman"/>
            </w:rPr>
            <w:t>33</w:t>
          </w:r>
          <w:r>
            <w:rPr>
              <w:rFonts w:ascii="Times New Roman" w:eastAsia="Times New Roman"/>
            </w:rPr>
            <w:fldChar w:fldCharType="end"/>
          </w:r>
        </w:p>
        <w:p>
          <w:pPr>
            <w:pStyle w:val="5"/>
            <w:tabs>
              <w:tab w:val="right" w:leader="dot" w:pos="9069"/>
            </w:tabs>
            <w:rPr>
              <w:rFonts w:ascii="Times New Roman" w:eastAsia="Times New Roman"/>
            </w:rPr>
          </w:pPr>
          <w:r>
            <w:fldChar w:fldCharType="begin"/>
          </w:r>
          <w:r>
            <w:instrText xml:space="preserve"> HYPERLINK \l "_TOC_250001" </w:instrText>
          </w:r>
          <w:r>
            <w:fldChar w:fldCharType="separate"/>
          </w:r>
          <w:r>
            <w:t>十三、附件及附图</w:t>
          </w:r>
          <w:r>
            <w:tab/>
          </w:r>
          <w:r>
            <w:rPr>
              <w:rFonts w:ascii="Times New Roman" w:eastAsia="Times New Roman"/>
            </w:rPr>
            <w:t>34</w:t>
          </w:r>
          <w:r>
            <w:rPr>
              <w:rFonts w:ascii="Times New Roman" w:eastAsia="Times New Roman"/>
            </w:rPr>
            <w:fldChar w:fldCharType="end"/>
          </w:r>
        </w:p>
        <w:p>
          <w:pPr>
            <w:pStyle w:val="6"/>
            <w:tabs>
              <w:tab w:val="right" w:leader="dot" w:pos="9069"/>
            </w:tabs>
            <w:rPr>
              <w:rFonts w:ascii="Times New Roman" w:eastAsia="Times New Roman"/>
            </w:rPr>
          </w:pPr>
          <w:r>
            <w:fldChar w:fldCharType="begin"/>
          </w:r>
          <w:r>
            <w:instrText xml:space="preserve"> HYPERLINK \l "_TOC_250000" </w:instrText>
          </w:r>
          <w:r>
            <w:fldChar w:fldCharType="separate"/>
          </w:r>
          <w:r>
            <w:rPr>
              <w:rFonts w:ascii="Times New Roman" w:eastAsia="Times New Roman"/>
            </w:rPr>
            <w:t>1</w:t>
          </w:r>
          <w:r>
            <w:t>、附件</w:t>
          </w:r>
          <w:r>
            <w:tab/>
          </w:r>
          <w:r>
            <w:rPr>
              <w:rFonts w:ascii="Times New Roman" w:eastAsia="Times New Roman"/>
            </w:rPr>
            <w:t>34</w:t>
          </w:r>
          <w:r>
            <w:rPr>
              <w:rFonts w:ascii="Times New Roman" w:eastAsia="Times New Roman"/>
            </w:rPr>
            <w:fldChar w:fldCharType="end"/>
          </w:r>
        </w:p>
        <w:p>
          <w:pPr>
            <w:pStyle w:val="6"/>
            <w:tabs>
              <w:tab w:val="right" w:leader="dot" w:pos="9069"/>
            </w:tabs>
            <w:rPr>
              <w:rFonts w:ascii="Times New Roman" w:eastAsia="Times New Roman"/>
            </w:rPr>
          </w:pPr>
          <w:r>
            <w:rPr>
              <w:rFonts w:ascii="Times New Roman" w:eastAsia="Times New Roman"/>
            </w:rPr>
            <w:t>2</w:t>
          </w:r>
          <w:r>
            <w:t>、附图</w:t>
          </w:r>
          <w:r>
            <w:tab/>
          </w:r>
          <w:r>
            <w:rPr>
              <w:rFonts w:ascii="Times New Roman" w:eastAsia="Times New Roman"/>
            </w:rPr>
            <w:t>34</w:t>
          </w:r>
        </w:p>
      </w:sdtContent>
    </w:sdt>
    <w:p>
      <w:pPr>
        <w:spacing w:after="0"/>
        <w:rPr>
          <w:rFonts w:ascii="Times New Roman" w:eastAsia="Times New Roman"/>
        </w:rPr>
        <w:sectPr>
          <w:pgSz w:w="11910" w:h="16840"/>
          <w:pgMar w:top="1300" w:right="1160" w:bottom="280" w:left="1420" w:header="720" w:footer="720" w:gutter="0"/>
          <w:cols w:space="720" w:num="1"/>
        </w:sectPr>
      </w:pPr>
    </w:p>
    <w:p>
      <w:pPr>
        <w:pStyle w:val="2"/>
        <w:spacing w:before="168"/>
        <w:ind w:right="135"/>
      </w:pPr>
      <w:bookmarkStart w:id="0" w:name="_TOC_250039"/>
      <w:bookmarkEnd w:id="0"/>
      <w:r>
        <w:t>一、前 言</w:t>
      </w:r>
    </w:p>
    <w:p>
      <w:pPr>
        <w:pStyle w:val="4"/>
        <w:spacing w:before="252" w:line="417" w:lineRule="auto"/>
        <w:ind w:left="111" w:right="263" w:firstLine="568"/>
        <w:jc w:val="both"/>
      </w:pPr>
      <w:r>
        <w:rPr>
          <w:spacing w:val="-5"/>
        </w:rPr>
        <w:t>受深圳市龙岗区龙岗街道办事处委托，深圳市海平峰水务技术工程有</w:t>
      </w:r>
      <w:r>
        <w:rPr>
          <w:spacing w:val="-7"/>
        </w:rPr>
        <w:t>限公司</w:t>
      </w:r>
      <w:r>
        <w:t>（</w:t>
      </w:r>
      <w:r>
        <w:rPr>
          <w:spacing w:val="-3"/>
        </w:rPr>
        <w:t>以下可简称我司</w:t>
      </w:r>
      <w:r>
        <w:rPr>
          <w:spacing w:val="-10"/>
        </w:rPr>
        <w:t>）</w:t>
      </w:r>
      <w:r>
        <w:rPr>
          <w:spacing w:val="-34"/>
        </w:rPr>
        <w:t xml:space="preserve">于 </w:t>
      </w:r>
      <w:r>
        <w:t>2019</w:t>
      </w:r>
      <w:r>
        <w:rPr>
          <w:spacing w:val="-46"/>
        </w:rPr>
        <w:t xml:space="preserve"> 年 </w:t>
      </w:r>
      <w:r>
        <w:t>11</w:t>
      </w:r>
      <w:r>
        <w:rPr>
          <w:spacing w:val="-10"/>
        </w:rPr>
        <w:t xml:space="preserve"> 月开展了深圳市龙岗区龙城街道</w:t>
      </w:r>
      <w:r>
        <w:rPr>
          <w:spacing w:val="-4"/>
        </w:rPr>
        <w:t>龙西社区雨污分流管网工程的水土保持设施验收报告的编制工作。</w:t>
      </w:r>
    </w:p>
    <w:p>
      <w:pPr>
        <w:pStyle w:val="4"/>
        <w:spacing w:line="417" w:lineRule="auto"/>
        <w:ind w:left="111" w:right="263" w:firstLine="559"/>
        <w:jc w:val="both"/>
      </w:pPr>
      <w:r>
        <w:rPr>
          <w:spacing w:val="-4"/>
        </w:rPr>
        <w:t>深圳市龙岗区龙城街道龙西社区雨污分流管网工程</w:t>
      </w:r>
      <w:r>
        <w:t>（</w:t>
      </w:r>
      <w:r>
        <w:rPr>
          <w:spacing w:val="-3"/>
        </w:rPr>
        <w:t>以下可简称本项</w:t>
      </w:r>
      <w:r>
        <w:rPr>
          <w:spacing w:val="4"/>
        </w:rPr>
        <w:t>目</w:t>
      </w:r>
      <w:r>
        <w:t>）</w:t>
      </w:r>
      <w:r>
        <w:rPr>
          <w:spacing w:val="-3"/>
        </w:rPr>
        <w:t xml:space="preserve">项目区位于深圳市龙岗区龙岗街道龙西社区，项目于 </w:t>
      </w:r>
      <w:r>
        <w:t>2016</w:t>
      </w:r>
      <w:r>
        <w:rPr>
          <w:spacing w:val="-36"/>
        </w:rPr>
        <w:t xml:space="preserve"> 年 </w:t>
      </w:r>
      <w:r>
        <w:t>9</w:t>
      </w:r>
      <w:r>
        <w:rPr>
          <w:spacing w:val="-17"/>
        </w:rPr>
        <w:t xml:space="preserve"> 月开</w:t>
      </w:r>
    </w:p>
    <w:p>
      <w:pPr>
        <w:pStyle w:val="4"/>
        <w:spacing w:line="358" w:lineRule="exact"/>
        <w:ind w:left="111"/>
        <w:jc w:val="both"/>
      </w:pPr>
      <w:r>
        <w:rPr>
          <w:spacing w:val="-3"/>
        </w:rPr>
        <w:t>工，</w:t>
      </w:r>
      <w:r>
        <w:rPr>
          <w:spacing w:val="-5"/>
        </w:rPr>
        <w:t>2019</w:t>
      </w:r>
      <w:r>
        <w:rPr>
          <w:spacing w:val="-45"/>
        </w:rPr>
        <w:t xml:space="preserve"> 年 </w:t>
      </w:r>
      <w:r>
        <w:t>10</w:t>
      </w:r>
      <w:r>
        <w:rPr>
          <w:spacing w:val="-19"/>
        </w:rPr>
        <w:t xml:space="preserve"> 月完工，工期约 </w:t>
      </w:r>
      <w:r>
        <w:t>38</w:t>
      </w:r>
      <w:r>
        <w:rPr>
          <w:spacing w:val="-15"/>
        </w:rPr>
        <w:t xml:space="preserve"> 个月。本项目概算总投资约 </w:t>
      </w:r>
      <w:r>
        <w:rPr>
          <w:spacing w:val="-19"/>
        </w:rPr>
        <w:t>12822.27</w:t>
      </w:r>
      <w:r>
        <w:rPr>
          <w:spacing w:val="-51"/>
        </w:rPr>
        <w:t xml:space="preserve"> 万</w:t>
      </w:r>
    </w:p>
    <w:p>
      <w:pPr>
        <w:pStyle w:val="4"/>
        <w:spacing w:before="9"/>
        <w:rPr>
          <w:sz w:val="20"/>
        </w:rPr>
      </w:pPr>
    </w:p>
    <w:p>
      <w:pPr>
        <w:pStyle w:val="4"/>
        <w:ind w:left="111"/>
      </w:pPr>
      <w:r>
        <w:rPr>
          <w:spacing w:val="-18"/>
        </w:rPr>
        <w:t xml:space="preserve">元，其中水土保持总投资约 </w:t>
      </w:r>
      <w:r>
        <w:t>175.22</w:t>
      </w:r>
      <w:r>
        <w:rPr>
          <w:spacing w:val="-23"/>
        </w:rPr>
        <w:t xml:space="preserve"> 万元，实际完成总投资约为 </w:t>
      </w:r>
      <w:r>
        <w:rPr>
          <w:spacing w:val="-8"/>
        </w:rPr>
        <w:t>12122</w:t>
      </w:r>
      <w:r>
        <w:rPr>
          <w:spacing w:val="-24"/>
        </w:rPr>
        <w:t xml:space="preserve"> 万元，</w:t>
      </w:r>
    </w:p>
    <w:p>
      <w:pPr>
        <w:pStyle w:val="4"/>
        <w:spacing w:before="9"/>
        <w:rPr>
          <w:sz w:val="20"/>
        </w:rPr>
      </w:pPr>
    </w:p>
    <w:p>
      <w:pPr>
        <w:pStyle w:val="4"/>
        <w:ind w:left="111"/>
      </w:pPr>
      <w:r>
        <w:t>其中水土保持总投资约为 180 万元，实际完成投资以竣工决算为准。</w:t>
      </w:r>
    </w:p>
    <w:p>
      <w:pPr>
        <w:pStyle w:val="4"/>
        <w:spacing w:before="9"/>
        <w:rPr>
          <w:sz w:val="20"/>
        </w:rPr>
      </w:pPr>
    </w:p>
    <w:p>
      <w:pPr>
        <w:pStyle w:val="4"/>
        <w:spacing w:line="417" w:lineRule="auto"/>
        <w:ind w:left="111" w:right="99" w:firstLine="559"/>
      </w:pPr>
      <w:r>
        <w:rPr>
          <w:spacing w:val="-3"/>
        </w:rPr>
        <w:t>根据《中华人民共和国水土保持法》等法律法规的要求，深圳市大鹏</w:t>
      </w:r>
      <w:r>
        <w:t>新区建设管理服务中心于2015</w:t>
      </w:r>
      <w:r>
        <w:rPr>
          <w:spacing w:val="-34"/>
        </w:rPr>
        <w:t xml:space="preserve"> 年</w:t>
      </w:r>
      <w:r>
        <w:t>7</w:t>
      </w:r>
      <w:r>
        <w:rPr>
          <w:spacing w:val="-12"/>
        </w:rPr>
        <w:t xml:space="preserve"> 月委托深圳市海平峰水务技术工程有限</w:t>
      </w:r>
      <w:r>
        <w:rPr>
          <w:spacing w:val="-5"/>
        </w:rPr>
        <w:t>公司开展了《深圳市龙岗区龙城街道龙西社区雨污分流管网工程水土保持</w:t>
      </w:r>
      <w:r>
        <w:rPr>
          <w:spacing w:val="-4"/>
        </w:rPr>
        <w:t>方案报告表》的编制工作。方案编制单位于当月编制完成了《深圳市龙岗</w:t>
      </w:r>
      <w:r>
        <w:rPr>
          <w:spacing w:val="-7"/>
        </w:rPr>
        <w:t>区龙城街道龙西社区雨污分流管网工程水土保持方案报告表》</w:t>
      </w:r>
      <w:r>
        <w:rPr>
          <w:spacing w:val="-3"/>
        </w:rPr>
        <w:t>（</w:t>
      </w:r>
      <w:r>
        <w:rPr>
          <w:spacing w:val="-2"/>
        </w:rPr>
        <w:t>送审稿</w:t>
      </w:r>
      <w:r>
        <w:rPr>
          <w:spacing w:val="-22"/>
        </w:rPr>
        <w:t xml:space="preserve">）， </w:t>
      </w:r>
      <w:r>
        <w:rPr>
          <w:spacing w:val="-3"/>
        </w:rPr>
        <w:t>根据技术评审意见，对方案进行了修改完善补充，并完成了《深圳市龙岗</w:t>
      </w:r>
      <w:r>
        <w:rPr>
          <w:spacing w:val="-7"/>
        </w:rPr>
        <w:t>区龙城街道龙西社区雨污分流管网工程水土保持方案报告表》</w:t>
      </w:r>
      <w:r>
        <w:rPr>
          <w:spacing w:val="-3"/>
        </w:rPr>
        <w:t>（</w:t>
      </w:r>
      <w:r>
        <w:rPr>
          <w:spacing w:val="-2"/>
        </w:rPr>
        <w:t>报批稿</w:t>
      </w:r>
      <w:r>
        <w:rPr>
          <w:spacing w:val="-44"/>
        </w:rPr>
        <w:t>）</w:t>
      </w:r>
      <w:r>
        <w:t>。2015</w:t>
      </w:r>
      <w:r>
        <w:rPr>
          <w:spacing w:val="-56"/>
        </w:rPr>
        <w:t xml:space="preserve"> 年 </w:t>
      </w:r>
      <w:r>
        <w:t>7</w:t>
      </w:r>
      <w:r>
        <w:rPr>
          <w:spacing w:val="-56"/>
        </w:rPr>
        <w:t xml:space="preserve"> 月 </w:t>
      </w:r>
      <w:r>
        <w:t>23</w:t>
      </w:r>
      <w:r>
        <w:rPr>
          <w:spacing w:val="-23"/>
        </w:rPr>
        <w:t xml:space="preserve"> 日，深圳市龙岗区环境保护和水务局以深龙环水保复【</w:t>
      </w:r>
      <w:r>
        <w:t>2015】</w:t>
      </w:r>
    </w:p>
    <w:p>
      <w:pPr>
        <w:pStyle w:val="4"/>
        <w:spacing w:line="357" w:lineRule="exact"/>
        <w:ind w:left="111"/>
      </w:pPr>
      <w:r>
        <w:t>25 号文对其进行批复。</w:t>
      </w:r>
    </w:p>
    <w:p>
      <w:pPr>
        <w:pStyle w:val="4"/>
        <w:spacing w:before="9"/>
        <w:rPr>
          <w:sz w:val="20"/>
        </w:rPr>
      </w:pPr>
    </w:p>
    <w:p>
      <w:pPr>
        <w:pStyle w:val="4"/>
        <w:spacing w:line="417" w:lineRule="auto"/>
        <w:ind w:left="111" w:right="243" w:firstLine="559"/>
        <w:jc w:val="both"/>
      </w:pPr>
      <w:r>
        <w:rPr>
          <w:spacing w:val="-3"/>
        </w:rPr>
        <w:t>建设单位认真贯彻落实水土保持“三同时”制度，本项目中主体工程包含的水土保持措施及批复方案新增的水土保持措施与主体工程一并进行</w:t>
      </w:r>
      <w:r>
        <w:rPr>
          <w:spacing w:val="-7"/>
        </w:rPr>
        <w:t xml:space="preserve">招标、实施，实际完成的水土保持总投资约 </w:t>
      </w:r>
      <w:r>
        <w:t>180</w:t>
      </w:r>
      <w:r>
        <w:rPr>
          <w:spacing w:val="-9"/>
        </w:rPr>
        <w:t xml:space="preserve"> 万元。完成的水土保持设</w:t>
      </w:r>
    </w:p>
    <w:p>
      <w:pPr>
        <w:spacing w:before="0" w:line="384" w:lineRule="exact"/>
        <w:ind w:left="111" w:right="0" w:firstLine="0"/>
        <w:jc w:val="both"/>
        <w:rPr>
          <w:sz w:val="32"/>
        </w:rPr>
      </w:pPr>
      <w:r>
        <w:rPr>
          <w:spacing w:val="11"/>
          <w:sz w:val="28"/>
        </w:rPr>
        <w:t>施工程量主要包括：</w:t>
      </w:r>
      <w:r>
        <w:rPr>
          <w:spacing w:val="-3"/>
          <w:sz w:val="32"/>
        </w:rPr>
        <w:t xml:space="preserve">移动沉沙池 </w:t>
      </w:r>
      <w:r>
        <w:rPr>
          <w:sz w:val="32"/>
        </w:rPr>
        <w:t>15</w:t>
      </w:r>
      <w:r>
        <w:rPr>
          <w:spacing w:val="-13"/>
          <w:sz w:val="32"/>
        </w:rPr>
        <w:t xml:space="preserve"> 座，集水井 </w:t>
      </w:r>
      <w:r>
        <w:rPr>
          <w:sz w:val="32"/>
        </w:rPr>
        <w:t>56 座，施工护栏</w:t>
      </w:r>
    </w:p>
    <w:p>
      <w:pPr>
        <w:spacing w:after="0" w:line="384" w:lineRule="exact"/>
        <w:jc w:val="both"/>
        <w:rPr>
          <w:sz w:val="32"/>
        </w:rPr>
        <w:sectPr>
          <w:headerReference r:id="rId5" w:type="default"/>
          <w:footerReference r:id="rId6" w:type="default"/>
          <w:pgSz w:w="11910" w:h="16840"/>
          <w:pgMar w:top="1300" w:right="1160" w:bottom="1200" w:left="1420" w:header="878" w:footer="1005" w:gutter="0"/>
          <w:pgNumType w:start="1"/>
          <w:cols w:space="720" w:num="1"/>
        </w:sectPr>
      </w:pPr>
    </w:p>
    <w:p>
      <w:pPr>
        <w:pStyle w:val="4"/>
        <w:spacing w:before="11"/>
        <w:rPr>
          <w:sz w:val="7"/>
        </w:rPr>
      </w:pPr>
    </w:p>
    <w:p>
      <w:pPr>
        <w:spacing w:before="54" w:line="372" w:lineRule="auto"/>
        <w:ind w:left="111" w:right="241" w:firstLine="0"/>
        <w:jc w:val="both"/>
        <w:rPr>
          <w:sz w:val="28"/>
        </w:rPr>
      </w:pPr>
      <w:r>
        <w:rPr>
          <w:sz w:val="32"/>
        </w:rPr>
        <w:t>6500m</w:t>
      </w:r>
      <w:r>
        <w:rPr>
          <w:spacing w:val="-14"/>
          <w:sz w:val="32"/>
        </w:rPr>
        <w:t xml:space="preserve">，沙袋拦挡 </w:t>
      </w:r>
      <w:r>
        <w:rPr>
          <w:sz w:val="32"/>
        </w:rPr>
        <w:t>3500m</w:t>
      </w:r>
      <w:r>
        <w:rPr>
          <w:spacing w:val="-12"/>
          <w:sz w:val="32"/>
        </w:rPr>
        <w:t xml:space="preserve">，抽排水设备 </w:t>
      </w:r>
      <w:r>
        <w:rPr>
          <w:sz w:val="32"/>
        </w:rPr>
        <w:t>5</w:t>
      </w:r>
      <w:r>
        <w:rPr>
          <w:spacing w:val="-16"/>
          <w:sz w:val="32"/>
        </w:rPr>
        <w:t xml:space="preserve"> 套，高压水枪冲洗设施 </w:t>
      </w:r>
      <w:r>
        <w:rPr>
          <w:sz w:val="32"/>
        </w:rPr>
        <w:t xml:space="preserve">5 </w:t>
      </w:r>
      <w:r>
        <w:rPr>
          <w:spacing w:val="-12"/>
          <w:sz w:val="32"/>
        </w:rPr>
        <w:t xml:space="preserve">套，彩条布 </w:t>
      </w:r>
      <w:r>
        <w:rPr>
          <w:sz w:val="32"/>
        </w:rPr>
        <w:t>12000m</w:t>
      </w:r>
      <w:r>
        <w:rPr>
          <w:position w:val="16"/>
          <w:sz w:val="16"/>
        </w:rPr>
        <w:t>2</w:t>
      </w:r>
      <w:r>
        <w:rPr>
          <w:spacing w:val="-6"/>
          <w:sz w:val="28"/>
        </w:rPr>
        <w:t xml:space="preserve">。本项目实际挖方总量 </w:t>
      </w:r>
      <w:r>
        <w:rPr>
          <w:sz w:val="28"/>
        </w:rPr>
        <w:t>137656.2m</w:t>
      </w:r>
      <w:r>
        <w:rPr>
          <w:position w:val="14"/>
          <w:sz w:val="14"/>
        </w:rPr>
        <w:t>3</w:t>
      </w:r>
      <w:r>
        <w:rPr>
          <w:spacing w:val="-16"/>
          <w:sz w:val="28"/>
        </w:rPr>
        <w:t xml:space="preserve">，其中 </w:t>
      </w:r>
      <w:r>
        <w:rPr>
          <w:sz w:val="28"/>
        </w:rPr>
        <w:t>7737m</w:t>
      </w:r>
      <w:r>
        <w:rPr>
          <w:position w:val="14"/>
          <w:sz w:val="14"/>
        </w:rPr>
        <w:t xml:space="preserve">3 </w:t>
      </w:r>
      <w:r>
        <w:rPr>
          <w:sz w:val="28"/>
        </w:rPr>
        <w:t>为</w:t>
      </w:r>
      <w:r>
        <w:rPr>
          <w:spacing w:val="-7"/>
          <w:w w:val="100"/>
          <w:sz w:val="28"/>
        </w:rPr>
        <w:t>建筑垃圾运至年丰建筑垃圾循环利用厂，填方总量约</w:t>
      </w:r>
      <w:r>
        <w:rPr>
          <w:spacing w:val="-73"/>
          <w:sz w:val="28"/>
        </w:rPr>
        <w:t xml:space="preserve"> </w:t>
      </w:r>
      <w:r>
        <w:rPr>
          <w:spacing w:val="1"/>
          <w:w w:val="100"/>
          <w:sz w:val="28"/>
        </w:rPr>
        <w:t>8</w:t>
      </w:r>
      <w:r>
        <w:rPr>
          <w:spacing w:val="-2"/>
          <w:w w:val="100"/>
          <w:sz w:val="28"/>
        </w:rPr>
        <w:t>44</w:t>
      </w:r>
      <w:r>
        <w:rPr>
          <w:spacing w:val="1"/>
          <w:w w:val="100"/>
          <w:sz w:val="28"/>
        </w:rPr>
        <w:t>4</w:t>
      </w:r>
      <w:r>
        <w:rPr>
          <w:spacing w:val="-2"/>
          <w:w w:val="100"/>
          <w:sz w:val="28"/>
        </w:rPr>
        <w:t>1m</w:t>
      </w:r>
      <w:r>
        <w:rPr>
          <w:w w:val="99"/>
          <w:position w:val="14"/>
          <w:sz w:val="14"/>
        </w:rPr>
        <w:t>3</w:t>
      </w:r>
      <w:r>
        <w:rPr>
          <w:spacing w:val="-13"/>
          <w:w w:val="100"/>
          <w:sz w:val="28"/>
        </w:rPr>
        <w:t>，挖填平衡后</w:t>
      </w:r>
    </w:p>
    <w:p>
      <w:pPr>
        <w:pStyle w:val="4"/>
        <w:spacing w:before="71"/>
        <w:ind w:left="111"/>
        <w:jc w:val="both"/>
      </w:pPr>
      <w:r>
        <w:t>剩余 45478.2m</w:t>
      </w:r>
      <w:r>
        <w:rPr>
          <w:position w:val="14"/>
          <w:sz w:val="14"/>
        </w:rPr>
        <w:t xml:space="preserve">3 </w:t>
      </w:r>
      <w:r>
        <w:t>土方全部运至坪地新坑临时受纳场。</w:t>
      </w:r>
    </w:p>
    <w:p>
      <w:pPr>
        <w:pStyle w:val="4"/>
        <w:spacing w:before="265" w:line="417" w:lineRule="auto"/>
        <w:ind w:left="111" w:right="243" w:firstLine="559"/>
        <w:jc w:val="right"/>
      </w:pPr>
      <w:r>
        <w:t>施工期建设单位并未进行本项目的水土保持监测工作，本项目水土保持监理工作由项目主体工程监理单位深圳市深水水务咨询有限公司完成。本项目完工后受深圳市龙岗区龙岗街道办事处委托后，我司立即对该</w:t>
      </w:r>
    </w:p>
    <w:p>
      <w:pPr>
        <w:pStyle w:val="4"/>
        <w:spacing w:line="417" w:lineRule="auto"/>
        <w:ind w:left="111" w:right="243"/>
        <w:jc w:val="both"/>
      </w:pPr>
      <w:r>
        <w:rPr>
          <w:spacing w:val="-7"/>
        </w:rPr>
        <w:t>项目现状水土保持设施情况进行技术评估。根据水土保持法规</w:t>
      </w:r>
      <w:r>
        <w:rPr>
          <w:spacing w:val="-37"/>
        </w:rPr>
        <w:t>、《开发建设</w:t>
      </w:r>
      <w:r>
        <w:rPr>
          <w:spacing w:val="-18"/>
        </w:rPr>
        <w:t>项目水土保持设施验收管理办法》</w:t>
      </w:r>
      <w:r>
        <w:t>（</w:t>
      </w:r>
      <w:r>
        <w:rPr>
          <w:spacing w:val="-15"/>
        </w:rPr>
        <w:t xml:space="preserve">水利部第 </w:t>
      </w:r>
      <w:r>
        <w:t>16</w:t>
      </w:r>
      <w:r>
        <w:rPr>
          <w:spacing w:val="-23"/>
        </w:rPr>
        <w:t xml:space="preserve"> 号令</w:t>
      </w:r>
      <w:r>
        <w:rPr>
          <w:spacing w:val="-3"/>
        </w:rPr>
        <w:t>）</w:t>
      </w:r>
      <w:r>
        <w:rPr>
          <w:spacing w:val="-1"/>
        </w:rPr>
        <w:t>及深圳市水务局有</w:t>
      </w:r>
      <w:r>
        <w:rPr>
          <w:spacing w:val="-3"/>
        </w:rPr>
        <w:t>关规范文件的规定，在向建设单位了解本项目当初的建设情况和水土保持设施完成情况的基础上，查阅了主体工程设计方案及施工图设计等资料， 现场调查了项目区的水土流失状况，查勘了水土保持设施工程质量，对该项目区周边居民进行走访调查，对水土流失防治责任范围内的水土保持措施功能效果进行了评估。经综合分析讨论，按照国家、地方的有关技术标准，编制了《深圳市龙岗区龙城街道龙西社区雨污分流管网工程水土保持</w:t>
      </w:r>
      <w:r>
        <w:rPr>
          <w:spacing w:val="-21"/>
        </w:rPr>
        <w:t>设施验收报告》。</w:t>
      </w:r>
    </w:p>
    <w:p>
      <w:pPr>
        <w:pStyle w:val="4"/>
        <w:spacing w:line="417" w:lineRule="auto"/>
        <w:ind w:left="111" w:right="243" w:firstLine="559"/>
        <w:jc w:val="both"/>
      </w:pPr>
      <w:r>
        <w:t>在本项目水土保持设施验收报告编制期间，得到了深圳市水务局、深圳市水土保持监督监测站、深圳市龙岗区环境保护和水务局等单位的大力支持和协助，在此谨表谢意！</w:t>
      </w:r>
    </w:p>
    <w:p>
      <w:pPr>
        <w:spacing w:after="0" w:line="417" w:lineRule="auto"/>
        <w:jc w:val="both"/>
        <w:sectPr>
          <w:pgSz w:w="11910" w:h="16840"/>
          <w:pgMar w:top="1300" w:right="1160" w:bottom="1200" w:left="1420" w:header="878" w:footer="1005" w:gutter="0"/>
          <w:cols w:space="720" w:num="1"/>
        </w:sectPr>
      </w:pPr>
    </w:p>
    <w:p>
      <w:pPr>
        <w:pStyle w:val="4"/>
        <w:spacing w:before="7"/>
        <w:rPr>
          <w:sz w:val="8"/>
        </w:rPr>
      </w:pPr>
    </w:p>
    <w:p>
      <w:pPr>
        <w:pStyle w:val="2"/>
      </w:pPr>
      <w:bookmarkStart w:id="1" w:name="_TOC_250038"/>
      <w:bookmarkEnd w:id="1"/>
      <w:r>
        <w:t>二、工程概况及工程建设水土流失问题</w:t>
      </w:r>
    </w:p>
    <w:p>
      <w:pPr>
        <w:pStyle w:val="4"/>
        <w:spacing w:before="12"/>
        <w:rPr>
          <w:rFonts w:ascii="黑体"/>
          <w:b/>
          <w:sz w:val="31"/>
        </w:rPr>
      </w:pPr>
    </w:p>
    <w:p>
      <w:pPr>
        <w:pStyle w:val="3"/>
        <w:spacing w:line="240" w:lineRule="auto"/>
        <w:ind w:left="660"/>
      </w:pPr>
      <w:bookmarkStart w:id="2" w:name="_TOC_250037"/>
      <w:bookmarkEnd w:id="2"/>
      <w:r>
        <w:t>1、工程概况</w:t>
      </w:r>
    </w:p>
    <w:p>
      <w:pPr>
        <w:pStyle w:val="4"/>
        <w:spacing w:before="9"/>
        <w:rPr>
          <w:b/>
          <w:sz w:val="20"/>
        </w:rPr>
      </w:pPr>
    </w:p>
    <w:p>
      <w:pPr>
        <w:spacing w:before="0" w:line="376" w:lineRule="auto"/>
        <w:ind w:left="111" w:right="241" w:firstLine="559"/>
        <w:jc w:val="both"/>
        <w:rPr>
          <w:sz w:val="32"/>
        </w:rPr>
      </w:pPr>
      <w:r>
        <w:rPr>
          <w:spacing w:val="-3"/>
          <w:sz w:val="28"/>
        </w:rPr>
        <w:t>深圳市龙岗区龙城街道龙西社区雨污分流管网工程项目区位于深圳市</w:t>
      </w:r>
      <w:r>
        <w:rPr>
          <w:spacing w:val="4"/>
          <w:w w:val="95"/>
          <w:sz w:val="28"/>
        </w:rPr>
        <w:t>龙岗区</w:t>
      </w:r>
      <w:r>
        <w:rPr>
          <w:spacing w:val="7"/>
          <w:w w:val="95"/>
          <w:sz w:val="32"/>
        </w:rPr>
        <w:t>龙岗街道龙西社区</w:t>
      </w:r>
      <w:r>
        <w:rPr>
          <w:spacing w:val="4"/>
          <w:w w:val="95"/>
          <w:sz w:val="28"/>
        </w:rPr>
        <w:t>，</w:t>
      </w:r>
      <w:r>
        <w:rPr>
          <w:spacing w:val="5"/>
          <w:w w:val="95"/>
          <w:sz w:val="32"/>
        </w:rPr>
        <w:t xml:space="preserve">工程设计范围内现状已建城区的新旧 </w:t>
      </w:r>
      <w:r>
        <w:rPr>
          <w:spacing w:val="5"/>
          <w:sz w:val="32"/>
        </w:rPr>
        <w:t>村居住区包括龙西合家欢实业有限公司西侧新村、石溪村、李屋</w:t>
      </w:r>
      <w:r>
        <w:rPr>
          <w:spacing w:val="5"/>
          <w:w w:val="95"/>
          <w:sz w:val="32"/>
        </w:rPr>
        <w:t>村、陂头肚村、老围村、老围新村、石溪旧村、务地埔村、对面</w:t>
      </w:r>
    </w:p>
    <w:p>
      <w:pPr>
        <w:spacing w:before="0" w:line="386" w:lineRule="exact"/>
        <w:ind w:left="111" w:right="0" w:firstLine="0"/>
        <w:jc w:val="left"/>
        <w:rPr>
          <w:sz w:val="32"/>
        </w:rPr>
      </w:pPr>
      <w:r>
        <w:rPr>
          <w:w w:val="95"/>
          <w:sz w:val="32"/>
        </w:rPr>
        <w:t>岭等，工业区包括龙西第二工业区、陂头肚工业区、五联路沿线</w:t>
      </w:r>
    </w:p>
    <w:p>
      <w:pPr>
        <w:spacing w:before="214"/>
        <w:ind w:left="111" w:right="0" w:firstLine="0"/>
        <w:jc w:val="left"/>
        <w:rPr>
          <w:sz w:val="28"/>
        </w:rPr>
      </w:pPr>
      <w:r>
        <w:rPr>
          <w:sz w:val="32"/>
        </w:rPr>
        <w:t>工业区等</w:t>
      </w:r>
      <w:r>
        <w:rPr>
          <w:sz w:val="28"/>
        </w:rPr>
        <w:t>地。</w:t>
      </w:r>
    </w:p>
    <w:p>
      <w:pPr>
        <w:pStyle w:val="4"/>
        <w:spacing w:before="239" w:line="417" w:lineRule="auto"/>
        <w:ind w:left="111" w:right="242" w:firstLine="559"/>
        <w:jc w:val="both"/>
      </w:pPr>
      <w:r>
        <w:rPr>
          <w:spacing w:val="-3"/>
        </w:rPr>
        <w:t>本工程主要建设内容包括雨污水管网敷设、道路破除恢复等，管道总</w:t>
      </w:r>
      <w:r>
        <w:rPr>
          <w:spacing w:val="-18"/>
        </w:rPr>
        <w:t xml:space="preserve">长约 </w:t>
      </w:r>
      <w:r>
        <w:t>23988m</w:t>
      </w:r>
      <w:r>
        <w:rPr>
          <w:spacing w:val="-3"/>
        </w:rPr>
        <w:t xml:space="preserve">，项目建设区面积约 </w:t>
      </w:r>
      <w:r>
        <w:t>73684.82m</w:t>
      </w:r>
      <w:r>
        <w:rPr>
          <w:position w:val="14"/>
          <w:sz w:val="14"/>
        </w:rPr>
        <w:t>2</w:t>
      </w:r>
      <w:r>
        <w:rPr>
          <w:spacing w:val="-8"/>
        </w:rPr>
        <w:t xml:space="preserve">，管径包括 </w:t>
      </w:r>
      <w:r>
        <w:t>DN200</w:t>
      </w:r>
      <w:r>
        <w:rPr>
          <w:spacing w:val="9"/>
        </w:rPr>
        <w:t xml:space="preserve">- </w:t>
      </w:r>
      <w:r>
        <w:t xml:space="preserve">DN800mm </w:t>
      </w:r>
      <w:r>
        <w:rPr>
          <w:spacing w:val="-3"/>
        </w:rPr>
        <w:t>的污水及雨水管道。</w:t>
      </w:r>
    </w:p>
    <w:p>
      <w:pPr>
        <w:pStyle w:val="4"/>
        <w:spacing w:line="358" w:lineRule="exact"/>
        <w:ind w:left="684"/>
        <w:jc w:val="both"/>
      </w:pPr>
      <w:r>
        <w:rPr>
          <w:spacing w:val="-16"/>
        </w:rPr>
        <w:t xml:space="preserve">本项目于 </w:t>
      </w:r>
      <w:r>
        <w:t>2016</w:t>
      </w:r>
      <w:r>
        <w:rPr>
          <w:spacing w:val="-47"/>
        </w:rPr>
        <w:t xml:space="preserve"> 年 </w:t>
      </w:r>
      <w:r>
        <w:t>9</w:t>
      </w:r>
      <w:r>
        <w:rPr>
          <w:spacing w:val="-17"/>
        </w:rPr>
        <w:t xml:space="preserve"> 月进场，计划工期 </w:t>
      </w:r>
      <w:r>
        <w:t>18</w:t>
      </w:r>
      <w:r>
        <w:rPr>
          <w:spacing w:val="-20"/>
        </w:rPr>
        <w:t xml:space="preserve"> 个月，实际于 </w:t>
      </w:r>
      <w:r>
        <w:t>2019</w:t>
      </w:r>
      <w:r>
        <w:rPr>
          <w:spacing w:val="-48"/>
        </w:rPr>
        <w:t xml:space="preserve"> 年 </w:t>
      </w:r>
      <w:r>
        <w:t>10</w:t>
      </w:r>
      <w:r>
        <w:rPr>
          <w:spacing w:val="-35"/>
        </w:rPr>
        <w:t xml:space="preserve"> 月</w:t>
      </w:r>
    </w:p>
    <w:p>
      <w:pPr>
        <w:pStyle w:val="4"/>
        <w:spacing w:before="9"/>
        <w:rPr>
          <w:sz w:val="20"/>
        </w:rPr>
      </w:pPr>
    </w:p>
    <w:p>
      <w:pPr>
        <w:pStyle w:val="4"/>
        <w:spacing w:line="417" w:lineRule="auto"/>
        <w:ind w:left="111" w:right="243"/>
        <w:jc w:val="both"/>
      </w:pPr>
      <w:r>
        <w:rPr>
          <w:spacing w:val="-17"/>
        </w:rPr>
        <w:t xml:space="preserve">完工，总工期约 </w:t>
      </w:r>
      <w:r>
        <w:t>38</w:t>
      </w:r>
      <w:r>
        <w:rPr>
          <w:spacing w:val="-17"/>
        </w:rPr>
        <w:t xml:space="preserve"> 个月，工程实际总投资约 </w:t>
      </w:r>
      <w:r>
        <w:t>12122</w:t>
      </w:r>
      <w:r>
        <w:rPr>
          <w:spacing w:val="-13"/>
        </w:rPr>
        <w:t xml:space="preserve"> 万元，由深圳市龙岗区</w:t>
      </w:r>
      <w:r>
        <w:rPr>
          <w:spacing w:val="-5"/>
        </w:rPr>
        <w:t>龙岗街道办事处负责建设，资金来源为政府财政拨款。</w:t>
      </w:r>
    </w:p>
    <w:p>
      <w:pPr>
        <w:pStyle w:val="4"/>
        <w:spacing w:line="358" w:lineRule="exact"/>
        <w:ind w:left="684"/>
      </w:pPr>
      <w:r>
        <w:t>本项目各参建单位具体如下——</w:t>
      </w:r>
    </w:p>
    <w:p>
      <w:pPr>
        <w:pStyle w:val="4"/>
        <w:spacing w:before="9"/>
        <w:rPr>
          <w:sz w:val="20"/>
        </w:rPr>
      </w:pPr>
    </w:p>
    <w:p>
      <w:pPr>
        <w:spacing w:before="0"/>
        <w:ind w:left="670" w:right="0" w:firstLine="0"/>
        <w:jc w:val="left"/>
        <w:rPr>
          <w:sz w:val="28"/>
        </w:rPr>
      </w:pPr>
      <w:r>
        <w:rPr>
          <w:b/>
          <w:sz w:val="28"/>
        </w:rPr>
        <w:t>监理单位：</w:t>
      </w:r>
      <w:r>
        <w:rPr>
          <w:sz w:val="28"/>
        </w:rPr>
        <w:t>深圳市深水水务咨询有限公司</w:t>
      </w:r>
    </w:p>
    <w:p>
      <w:pPr>
        <w:pStyle w:val="4"/>
        <w:spacing w:before="9"/>
        <w:rPr>
          <w:sz w:val="20"/>
        </w:rPr>
      </w:pPr>
    </w:p>
    <w:p>
      <w:pPr>
        <w:spacing w:before="0"/>
        <w:ind w:left="670" w:right="0" w:firstLine="0"/>
        <w:jc w:val="left"/>
        <w:rPr>
          <w:sz w:val="28"/>
        </w:rPr>
      </w:pPr>
      <w:r>
        <w:rPr>
          <w:b/>
          <w:sz w:val="28"/>
        </w:rPr>
        <w:t>主体施工单位：</w:t>
      </w:r>
      <w:r>
        <w:rPr>
          <w:sz w:val="28"/>
        </w:rPr>
        <w:t>深圳市福田建安建设集团有限公司</w:t>
      </w:r>
    </w:p>
    <w:p>
      <w:pPr>
        <w:pStyle w:val="4"/>
        <w:spacing w:before="9"/>
        <w:rPr>
          <w:sz w:val="20"/>
        </w:rPr>
      </w:pPr>
    </w:p>
    <w:p>
      <w:pPr>
        <w:spacing w:before="0" w:line="417" w:lineRule="auto"/>
        <w:ind w:left="684" w:right="1067" w:firstLine="0"/>
        <w:jc w:val="left"/>
        <w:rPr>
          <w:b/>
          <w:sz w:val="28"/>
        </w:rPr>
      </w:pPr>
      <w:r>
        <w:rPr>
          <w:b/>
          <w:sz w:val="28"/>
        </w:rPr>
        <w:t>水土保持方案设计单位：</w:t>
      </w:r>
      <w:r>
        <w:rPr>
          <w:sz w:val="28"/>
        </w:rPr>
        <w:t>深圳市海平峰水务技术工程有限公司</w:t>
      </w:r>
      <w:bookmarkStart w:id="3" w:name="2、项目区自然和水土流失情况"/>
      <w:bookmarkEnd w:id="3"/>
      <w:r>
        <w:rPr>
          <w:b/>
          <w:sz w:val="28"/>
        </w:rPr>
        <w:t>2、项目区自然和水土流失情况</w:t>
      </w:r>
    </w:p>
    <w:p>
      <w:pPr>
        <w:pStyle w:val="10"/>
        <w:numPr>
          <w:ilvl w:val="0"/>
          <w:numId w:val="1"/>
        </w:numPr>
        <w:tabs>
          <w:tab w:val="left" w:pos="1373"/>
        </w:tabs>
        <w:spacing w:before="0" w:after="0" w:line="358" w:lineRule="exact"/>
        <w:ind w:left="1372" w:right="0" w:hanging="703"/>
        <w:jc w:val="left"/>
        <w:rPr>
          <w:sz w:val="28"/>
        </w:rPr>
      </w:pPr>
      <w:r>
        <w:rPr>
          <w:spacing w:val="-3"/>
          <w:sz w:val="28"/>
        </w:rPr>
        <w:t>气象、水文</w:t>
      </w:r>
    </w:p>
    <w:p>
      <w:pPr>
        <w:pStyle w:val="4"/>
        <w:spacing w:before="9"/>
        <w:rPr>
          <w:sz w:val="20"/>
        </w:rPr>
      </w:pPr>
    </w:p>
    <w:p>
      <w:pPr>
        <w:pStyle w:val="4"/>
        <w:spacing w:line="417" w:lineRule="auto"/>
        <w:ind w:left="111" w:right="251" w:firstLine="559"/>
      </w:pPr>
      <w:r>
        <w:t>深圳市气候属南亚热带海洋性季风气候，热量丰富，日照时间长，雨量充沛。气候和降雨量随冬、夏季风的转换而变化。冬季无严寒，无霜为</w:t>
      </w:r>
    </w:p>
    <w:p>
      <w:pPr>
        <w:spacing w:after="0" w:line="417" w:lineRule="auto"/>
        <w:sectPr>
          <w:pgSz w:w="11910" w:h="16840"/>
          <w:pgMar w:top="1300" w:right="1160" w:bottom="1200" w:left="1420" w:header="878" w:footer="1005" w:gutter="0"/>
          <w:cols w:space="720" w:num="1"/>
        </w:sectPr>
      </w:pPr>
    </w:p>
    <w:p>
      <w:pPr>
        <w:pStyle w:val="4"/>
        <w:spacing w:before="4"/>
        <w:rPr>
          <w:sz w:val="9"/>
        </w:rPr>
      </w:pPr>
    </w:p>
    <w:p>
      <w:pPr>
        <w:pStyle w:val="4"/>
        <w:spacing w:before="61" w:line="417" w:lineRule="auto"/>
        <w:ind w:left="111" w:right="241"/>
        <w:jc w:val="both"/>
      </w:pPr>
      <w:r>
        <w:rPr>
          <w:spacing w:val="-1"/>
        </w:rPr>
        <w:t>355</w:t>
      </w:r>
      <w:r>
        <w:rPr>
          <w:spacing w:val="-12"/>
        </w:rPr>
        <w:t>天，夏季湿热多雨，一年内有冷暖和干湿季之分。具有雨热同季，干凉</w:t>
      </w:r>
      <w:r>
        <w:rPr>
          <w:spacing w:val="-5"/>
        </w:rPr>
        <w:t>同期的特点。但降水和气温的年季变化较大，灾害性天气也较多。如春有</w:t>
      </w:r>
      <w:r>
        <w:rPr>
          <w:spacing w:val="-3"/>
        </w:rPr>
        <w:t>干旱和低温阴雨，夏秋有台风，秋季有寒露风，冬季有低温霜冻。</w:t>
      </w:r>
    </w:p>
    <w:p>
      <w:pPr>
        <w:pStyle w:val="4"/>
        <w:spacing w:line="417" w:lineRule="auto"/>
        <w:ind w:left="111" w:right="102" w:firstLine="559"/>
      </w:pPr>
      <w:r>
        <w:rPr>
          <w:spacing w:val="-11"/>
        </w:rPr>
        <w:t xml:space="preserve">龙岗区属亚热带海洋性气候，全年太阳高度角大、辐射强，夏长冬短， </w:t>
      </w:r>
      <w:r>
        <w:rPr>
          <w:spacing w:val="-5"/>
        </w:rPr>
        <w:t>降水量丰富，光热充足，具有发展农、林生产的优越气候条件，但常受台</w:t>
      </w:r>
      <w:r>
        <w:rPr>
          <w:spacing w:val="-8"/>
        </w:rPr>
        <w:t>风和寒露风等灾害性天气侵袭。年平均气温</w:t>
      </w:r>
      <w:r>
        <w:rPr>
          <w:spacing w:val="-12"/>
        </w:rPr>
        <w:t>22.4</w:t>
      </w:r>
      <w:r>
        <w:rPr>
          <w:spacing w:val="-5"/>
        </w:rPr>
        <w:t>℃，平均日照时数</w:t>
      </w:r>
      <w:r>
        <w:t xml:space="preserve">2120时， </w:t>
      </w:r>
      <w:r>
        <w:rPr>
          <w:spacing w:val="-3"/>
        </w:rPr>
        <w:t>太阳年辐射量</w:t>
      </w:r>
      <w:r>
        <w:t>5404.9</w:t>
      </w:r>
      <w:r>
        <w:rPr>
          <w:spacing w:val="-2"/>
        </w:rPr>
        <w:t>焦耳</w:t>
      </w:r>
      <w:r>
        <w:t>/</w:t>
      </w:r>
      <w:r>
        <w:rPr>
          <w:spacing w:val="-3"/>
        </w:rPr>
        <w:t>平方米，常年主导风向为东南风。</w:t>
      </w:r>
      <w:r>
        <w:t>4-8</w:t>
      </w:r>
      <w:r>
        <w:rPr>
          <w:spacing w:val="-2"/>
        </w:rPr>
        <w:t>月多吹东</w:t>
      </w:r>
      <w:r>
        <w:rPr>
          <w:spacing w:val="-10"/>
        </w:rPr>
        <w:t>风、东南风，</w:t>
      </w:r>
      <w:r>
        <w:rPr>
          <w:spacing w:val="-15"/>
        </w:rPr>
        <w:t>7</w:t>
      </w:r>
      <w:r>
        <w:rPr>
          <w:spacing w:val="-3"/>
        </w:rPr>
        <w:t>月平均气温</w:t>
      </w:r>
      <w:r>
        <w:rPr>
          <w:spacing w:val="-8"/>
        </w:rPr>
        <w:t>28</w:t>
      </w:r>
      <w:r>
        <w:rPr>
          <w:spacing w:val="-5"/>
        </w:rPr>
        <w:t>℃，极端最高气温36.7℃；9-3</w:t>
      </w:r>
      <w:r>
        <w:rPr>
          <w:spacing w:val="-4"/>
        </w:rPr>
        <w:t>月吹东北风，</w:t>
      </w:r>
      <w:r>
        <w:rPr>
          <w:spacing w:val="-14"/>
        </w:rPr>
        <w:t xml:space="preserve">1 </w:t>
      </w:r>
      <w:r>
        <w:rPr>
          <w:spacing w:val="-3"/>
        </w:rPr>
        <w:t>月平均气温</w:t>
      </w:r>
      <w:r>
        <w:t>19</w:t>
      </w:r>
      <w:r>
        <w:rPr>
          <w:spacing w:val="-3"/>
        </w:rPr>
        <w:t>℃，极端最低气温</w:t>
      </w:r>
      <w:r>
        <w:t>0.2</w:t>
      </w:r>
      <w:r>
        <w:rPr>
          <w:spacing w:val="-3"/>
        </w:rPr>
        <w:t>摄氏度；年平均降雨量</w:t>
      </w:r>
      <w:r>
        <w:t>1941mm，4-9月</w:t>
      </w:r>
      <w:r>
        <w:rPr>
          <w:spacing w:val="-3"/>
        </w:rPr>
        <w:t>为雨季，降雨量占全年的</w:t>
      </w:r>
      <w:r>
        <w:t>80%</w:t>
      </w:r>
      <w:r>
        <w:rPr>
          <w:spacing w:val="-2"/>
        </w:rPr>
        <w:t>以上。</w:t>
      </w:r>
    </w:p>
    <w:p>
      <w:pPr>
        <w:pStyle w:val="4"/>
        <w:spacing w:line="417" w:lineRule="auto"/>
        <w:ind w:left="111" w:right="253" w:firstLine="559"/>
      </w:pPr>
      <w:r>
        <w:t>本项目属于东江水系坂田河流域内。龙城街道内，与龙西社区相关的主要河流为龙岗河一级支流回龙河及石溪河。</w:t>
      </w:r>
    </w:p>
    <w:p>
      <w:pPr>
        <w:pStyle w:val="4"/>
        <w:spacing w:line="358" w:lineRule="exact"/>
        <w:ind w:left="670"/>
      </w:pPr>
      <w:r>
        <w:t>① 龙岗河水质情况</w:t>
      </w:r>
    </w:p>
    <w:p>
      <w:pPr>
        <w:pStyle w:val="4"/>
        <w:spacing w:before="7"/>
        <w:rPr>
          <w:sz w:val="20"/>
        </w:rPr>
      </w:pPr>
    </w:p>
    <w:p>
      <w:pPr>
        <w:pStyle w:val="4"/>
        <w:spacing w:line="417" w:lineRule="auto"/>
        <w:ind w:left="111" w:right="243" w:firstLine="559"/>
        <w:jc w:val="both"/>
      </w:pPr>
      <w:r>
        <w:rPr>
          <w:spacing w:val="-3"/>
        </w:rPr>
        <w:t>龙岗河干流河长约</w:t>
      </w:r>
      <w:r>
        <w:t>22km</w:t>
      </w:r>
      <w:r>
        <w:rPr>
          <w:spacing w:val="-2"/>
        </w:rPr>
        <w:t>，已于</w:t>
      </w:r>
      <w:r>
        <w:t>1998</w:t>
      </w:r>
      <w:r>
        <w:rPr>
          <w:spacing w:val="-3"/>
        </w:rPr>
        <w:t>年冬陆续开始治理，到目前为止， 已经完成了从蒲芦陂-坪地镇四方铺村长约</w:t>
      </w:r>
      <w:r>
        <w:t>15km</w:t>
      </w:r>
      <w:r>
        <w:rPr>
          <w:spacing w:val="-15"/>
        </w:rPr>
        <w:t>的治理工程，治理防洪标准</w:t>
      </w:r>
      <w:r>
        <w:rPr>
          <w:spacing w:val="-1"/>
        </w:rPr>
        <w:t>为</w:t>
      </w:r>
      <w:r>
        <w:t>100</w:t>
      </w:r>
      <w:r>
        <w:rPr>
          <w:spacing w:val="-3"/>
        </w:rPr>
        <w:t>年一遇。还剩约</w:t>
      </w:r>
      <w:r>
        <w:t>6.1km</w:t>
      </w:r>
      <w:r>
        <w:rPr>
          <w:spacing w:val="-3"/>
        </w:rPr>
        <w:t>河道尚未治理。支流：爱联河、龙西河、回龙河、南约河按</w:t>
      </w:r>
      <w:r>
        <w:t>50</w:t>
      </w:r>
      <w:r>
        <w:rPr>
          <w:spacing w:val="-3"/>
        </w:rPr>
        <w:t>年一遇的标准进行了治理；其它支流未完成系统治理。</w:t>
      </w:r>
    </w:p>
    <w:p>
      <w:pPr>
        <w:pStyle w:val="4"/>
        <w:spacing w:line="358" w:lineRule="exact"/>
        <w:ind w:left="670"/>
        <w:jc w:val="both"/>
      </w:pPr>
      <w:r>
        <w:t>② 回龙河</w:t>
      </w:r>
    </w:p>
    <w:p>
      <w:pPr>
        <w:pStyle w:val="4"/>
        <w:spacing w:before="9"/>
        <w:rPr>
          <w:sz w:val="20"/>
        </w:rPr>
      </w:pPr>
    </w:p>
    <w:p>
      <w:pPr>
        <w:pStyle w:val="4"/>
        <w:spacing w:line="417" w:lineRule="auto"/>
        <w:ind w:left="111" w:right="324" w:firstLine="559"/>
      </w:pPr>
      <w:r>
        <w:t>回龙河流域面积14.4km</w:t>
      </w:r>
      <w:r>
        <w:rPr>
          <w:position w:val="14"/>
          <w:sz w:val="14"/>
        </w:rPr>
        <w:t>2</w:t>
      </w:r>
      <w:r>
        <w:t>,河长2.6km，平均比降2.1‰，防洪标准50年一遇，目前整条河道已完成整治，达到了防洪标准。</w:t>
      </w:r>
    </w:p>
    <w:p>
      <w:pPr>
        <w:pStyle w:val="4"/>
        <w:spacing w:line="358" w:lineRule="exact"/>
        <w:ind w:left="670"/>
      </w:pPr>
      <w:r>
        <w:t>③ 石溪河（龙西河）</w:t>
      </w:r>
    </w:p>
    <w:p>
      <w:pPr>
        <w:pStyle w:val="4"/>
        <w:spacing w:before="9"/>
        <w:rPr>
          <w:sz w:val="20"/>
        </w:rPr>
      </w:pPr>
    </w:p>
    <w:p>
      <w:pPr>
        <w:pStyle w:val="4"/>
        <w:ind w:left="670"/>
      </w:pPr>
      <w:r>
        <w:t>石溪河为龙岗河左岸一级支流，流域面积20.152km</w:t>
      </w:r>
      <w:r>
        <w:rPr>
          <w:position w:val="14"/>
          <w:sz w:val="14"/>
        </w:rPr>
        <w:t>2</w:t>
      </w:r>
      <w:r>
        <w:t>,河长1.0km，平均</w:t>
      </w:r>
    </w:p>
    <w:p>
      <w:pPr>
        <w:spacing w:after="0"/>
        <w:sectPr>
          <w:pgSz w:w="11910" w:h="16840"/>
          <w:pgMar w:top="1300" w:right="1160" w:bottom="1200" w:left="1420" w:header="878" w:footer="1005" w:gutter="0"/>
          <w:cols w:space="720" w:num="1"/>
        </w:sectPr>
      </w:pPr>
    </w:p>
    <w:p>
      <w:pPr>
        <w:pStyle w:val="4"/>
        <w:spacing w:before="4"/>
        <w:rPr>
          <w:sz w:val="9"/>
        </w:rPr>
      </w:pPr>
    </w:p>
    <w:p>
      <w:pPr>
        <w:pStyle w:val="4"/>
        <w:spacing w:before="61" w:line="417" w:lineRule="auto"/>
        <w:ind w:left="111" w:right="102"/>
      </w:pPr>
      <w:r>
        <w:rPr>
          <w:spacing w:val="-2"/>
        </w:rPr>
        <w:t>比降</w:t>
      </w:r>
      <w:r>
        <w:rPr>
          <w:spacing w:val="-10"/>
        </w:rPr>
        <w:t>2.5</w:t>
      </w:r>
      <w:r>
        <w:rPr>
          <w:spacing w:val="-5"/>
        </w:rPr>
        <w:t>‰，规划防洪标准</w:t>
      </w:r>
      <w:r>
        <w:t>50</w:t>
      </w:r>
      <w:r>
        <w:rPr>
          <w:spacing w:val="-11"/>
        </w:rPr>
        <w:t>年一遇，目前石溪河处于自然状态，尚未开始</w:t>
      </w:r>
      <w:r>
        <w:rPr>
          <w:spacing w:val="-12"/>
        </w:rPr>
        <w:t>整治，石溪河位于清林径水库以下段，水质浑黄，不臭，河内有垃圾出现。</w:t>
      </w:r>
      <w:r>
        <w:rPr>
          <w:spacing w:val="-5"/>
        </w:rPr>
        <w:t>从龙西河二号桥开始，河道进入城市范围，开始有污水排入，水质开始变</w:t>
      </w:r>
      <w:r>
        <w:rPr>
          <w:spacing w:val="-3"/>
        </w:rPr>
        <w:t>差。但龙西河截污干管实施后，水质有明显改善。</w:t>
      </w:r>
    </w:p>
    <w:p>
      <w:pPr>
        <w:pStyle w:val="10"/>
        <w:numPr>
          <w:ilvl w:val="0"/>
          <w:numId w:val="1"/>
        </w:numPr>
        <w:tabs>
          <w:tab w:val="left" w:pos="1387"/>
        </w:tabs>
        <w:spacing w:before="0" w:after="0" w:line="358" w:lineRule="exact"/>
        <w:ind w:left="1386" w:right="0" w:hanging="703"/>
        <w:jc w:val="left"/>
        <w:rPr>
          <w:sz w:val="28"/>
        </w:rPr>
      </w:pPr>
      <w:r>
        <w:rPr>
          <w:spacing w:val="-3"/>
          <w:sz w:val="28"/>
        </w:rPr>
        <w:t>土壤、植被</w:t>
      </w:r>
    </w:p>
    <w:p>
      <w:pPr>
        <w:pStyle w:val="4"/>
        <w:spacing w:before="9"/>
        <w:rPr>
          <w:sz w:val="20"/>
        </w:rPr>
      </w:pPr>
    </w:p>
    <w:p>
      <w:pPr>
        <w:pStyle w:val="4"/>
        <w:spacing w:line="417" w:lineRule="auto"/>
        <w:ind w:left="111" w:right="251" w:firstLine="559"/>
      </w:pPr>
      <w:r>
        <w:t>项目区土壤以赤红壤为主，土壤表层有机质多在2.0%左右，而土壤流失的侵蚀赤红壤，表层有机质含量仅0.2-0.4%。</w:t>
      </w:r>
    </w:p>
    <w:p>
      <w:pPr>
        <w:pStyle w:val="4"/>
        <w:spacing w:line="417" w:lineRule="auto"/>
        <w:ind w:left="111" w:right="243" w:firstLine="559"/>
        <w:jc w:val="both"/>
      </w:pPr>
      <w:r>
        <w:rPr>
          <w:spacing w:val="-3"/>
        </w:rPr>
        <w:t>项目区属南亚热带海洋性季风气候，植物的组成成分具有明显的热带</w:t>
      </w:r>
      <w:r>
        <w:rPr>
          <w:spacing w:val="-9"/>
        </w:rPr>
        <w:t>性。植被的主要常见组成种类有</w:t>
      </w:r>
      <w:r>
        <w:t>310</w:t>
      </w:r>
      <w:r>
        <w:rPr>
          <w:spacing w:val="-11"/>
        </w:rPr>
        <w:t>多种，分属</w:t>
      </w:r>
      <w:r>
        <w:t>105</w:t>
      </w:r>
      <w:r>
        <w:rPr>
          <w:spacing w:val="-2"/>
        </w:rPr>
        <w:t>种和</w:t>
      </w:r>
      <w:r>
        <w:t>240</w:t>
      </w:r>
      <w:r>
        <w:rPr>
          <w:spacing w:val="-9"/>
        </w:rPr>
        <w:t>多属，其中属于</w:t>
      </w:r>
      <w:r>
        <w:rPr>
          <w:spacing w:val="-3"/>
        </w:rPr>
        <w:t>热带性的有</w:t>
      </w:r>
      <w:r>
        <w:t>100</w:t>
      </w:r>
      <w:r>
        <w:rPr>
          <w:spacing w:val="-2"/>
        </w:rPr>
        <w:t>多种，占</w:t>
      </w:r>
      <w:r>
        <w:t>49%</w:t>
      </w:r>
      <w:r>
        <w:rPr>
          <w:spacing w:val="-3"/>
        </w:rPr>
        <w:t>；热带和亚热带共有的有</w:t>
      </w:r>
      <w:r>
        <w:t>125</w:t>
      </w:r>
      <w:r>
        <w:rPr>
          <w:spacing w:val="-2"/>
        </w:rPr>
        <w:t>种，占</w:t>
      </w:r>
      <w:r>
        <w:t>40%</w:t>
      </w:r>
      <w:r>
        <w:rPr>
          <w:spacing w:val="-2"/>
        </w:rPr>
        <w:t>；其它的有</w:t>
      </w:r>
      <w:r>
        <w:t>35</w:t>
      </w:r>
      <w:r>
        <w:rPr>
          <w:spacing w:val="-2"/>
        </w:rPr>
        <w:t>种，占</w:t>
      </w:r>
      <w:r>
        <w:t>11%</w:t>
      </w:r>
      <w:r>
        <w:rPr>
          <w:spacing w:val="-3"/>
        </w:rPr>
        <w:t>，热带区系成分比例较大。森林覆盖率达</w:t>
      </w:r>
      <w:r>
        <w:t>47.6</w:t>
      </w:r>
      <w:r>
        <w:rPr>
          <w:spacing w:val="-1"/>
        </w:rPr>
        <w:t>%。根据现</w:t>
      </w:r>
      <w:r>
        <w:rPr>
          <w:spacing w:val="-3"/>
        </w:rPr>
        <w:t>场踏勘，管道沿线经过区域主要为硬化道路及绿化带。</w:t>
      </w:r>
    </w:p>
    <w:p>
      <w:pPr>
        <w:pStyle w:val="10"/>
        <w:numPr>
          <w:ilvl w:val="0"/>
          <w:numId w:val="1"/>
        </w:numPr>
        <w:tabs>
          <w:tab w:val="left" w:pos="1373"/>
        </w:tabs>
        <w:spacing w:before="0" w:after="0" w:line="358" w:lineRule="exact"/>
        <w:ind w:left="1372" w:right="0" w:hanging="703"/>
        <w:jc w:val="left"/>
        <w:rPr>
          <w:sz w:val="28"/>
        </w:rPr>
      </w:pPr>
      <w:r>
        <w:rPr>
          <w:spacing w:val="-2"/>
          <w:sz w:val="28"/>
        </w:rPr>
        <w:t>地形、地貌</w:t>
      </w:r>
    </w:p>
    <w:p>
      <w:pPr>
        <w:pStyle w:val="4"/>
        <w:spacing w:before="9"/>
        <w:rPr>
          <w:sz w:val="20"/>
        </w:rPr>
      </w:pPr>
    </w:p>
    <w:p>
      <w:pPr>
        <w:pStyle w:val="4"/>
        <w:spacing w:line="417" w:lineRule="auto"/>
        <w:ind w:left="111" w:right="251" w:firstLine="559"/>
        <w:jc w:val="both"/>
      </w:pPr>
      <w:r>
        <w:t>本工程位于深圳市龙岗区龙城街道龙西社区，场地北靠龙岗人民革命烈士纪念园，南临盐龙大道，交通条件较便利，沿线各种建构筑物多、管线多。工程场地的地貌单元为风化剥蚀残丘、台地和冲洪积平原，工程沿线地形整体平缓，局部起伏较大。孔口地面标高介于34.58-49.02m，最大相对高差14.44m。</w:t>
      </w:r>
    </w:p>
    <w:p>
      <w:pPr>
        <w:pStyle w:val="4"/>
        <w:spacing w:line="417" w:lineRule="auto"/>
        <w:ind w:left="111" w:right="102" w:firstLine="559"/>
      </w:pPr>
      <w:r>
        <w:rPr>
          <w:spacing w:val="-3"/>
        </w:rPr>
        <w:t>根据主体设计资料得知，场地内地层自上而下分别为：第四系人工填</w:t>
      </w:r>
      <w:r>
        <w:rPr>
          <w:spacing w:val="-51"/>
          <w:w w:val="100"/>
        </w:rPr>
        <w:t>土层</w:t>
      </w:r>
      <w:r>
        <w:rPr>
          <w:spacing w:val="-1"/>
          <w:w w:val="100"/>
        </w:rPr>
        <w:t>（</w:t>
      </w:r>
      <w:r>
        <w:rPr>
          <w:spacing w:val="-2"/>
          <w:w w:val="100"/>
        </w:rPr>
        <w:t>Q</w:t>
      </w:r>
      <w:r>
        <w:rPr>
          <w:w w:val="99"/>
          <w:position w:val="14"/>
          <w:sz w:val="14"/>
        </w:rPr>
        <w:t>ml</w:t>
      </w:r>
      <w:r>
        <w:rPr>
          <w:spacing w:val="-99"/>
          <w:w w:val="100"/>
        </w:rPr>
        <w:t>）</w:t>
      </w:r>
      <w:r>
        <w:rPr>
          <w:spacing w:val="-21"/>
          <w:w w:val="100"/>
        </w:rPr>
        <w:t>、第四系全新统冲洪积层</w:t>
      </w:r>
      <w:r>
        <w:rPr>
          <w:spacing w:val="-1"/>
          <w:w w:val="100"/>
        </w:rPr>
        <w:t>（</w:t>
      </w:r>
      <w:r>
        <w:rPr>
          <w:spacing w:val="-2"/>
          <w:w w:val="100"/>
        </w:rPr>
        <w:t>Q</w:t>
      </w:r>
      <w:r>
        <w:rPr>
          <w:w w:val="99"/>
          <w:position w:val="14"/>
          <w:sz w:val="14"/>
        </w:rPr>
        <w:t>4al+p</w:t>
      </w:r>
      <w:r>
        <w:rPr>
          <w:spacing w:val="2"/>
          <w:w w:val="99"/>
          <w:position w:val="14"/>
          <w:sz w:val="14"/>
        </w:rPr>
        <w:t>l</w:t>
      </w:r>
      <w:r>
        <w:rPr>
          <w:spacing w:val="-101"/>
          <w:w w:val="100"/>
        </w:rPr>
        <w:t>）</w:t>
      </w:r>
      <w:r>
        <w:rPr>
          <w:spacing w:val="-21"/>
          <w:w w:val="100"/>
        </w:rPr>
        <w:t>、第四系全新统坡洪积层</w:t>
      </w:r>
      <w:r>
        <w:rPr>
          <w:spacing w:val="-3"/>
          <w:w w:val="100"/>
        </w:rPr>
        <w:t>（</w:t>
      </w:r>
      <w:r>
        <w:rPr>
          <w:spacing w:val="1"/>
          <w:w w:val="100"/>
        </w:rPr>
        <w:t>Q</w:t>
      </w:r>
      <w:r>
        <w:rPr>
          <w:w w:val="99"/>
          <w:position w:val="14"/>
          <w:sz w:val="14"/>
        </w:rPr>
        <w:t>4dl+p</w:t>
      </w:r>
      <w:r>
        <w:rPr>
          <w:spacing w:val="2"/>
          <w:w w:val="99"/>
          <w:position w:val="14"/>
          <w:sz w:val="14"/>
        </w:rPr>
        <w:t>l</w:t>
      </w:r>
      <w:r>
        <w:rPr>
          <w:w w:val="100"/>
        </w:rPr>
        <w:t>）</w:t>
      </w:r>
    </w:p>
    <w:p>
      <w:pPr>
        <w:pStyle w:val="10"/>
        <w:numPr>
          <w:ilvl w:val="0"/>
          <w:numId w:val="1"/>
        </w:numPr>
        <w:tabs>
          <w:tab w:val="left" w:pos="1373"/>
        </w:tabs>
        <w:spacing w:before="0" w:after="0" w:line="358" w:lineRule="exact"/>
        <w:ind w:left="1372" w:right="0" w:hanging="703"/>
        <w:jc w:val="left"/>
        <w:rPr>
          <w:sz w:val="28"/>
        </w:rPr>
      </w:pPr>
      <w:r>
        <w:rPr>
          <w:spacing w:val="-3"/>
          <w:sz w:val="28"/>
        </w:rPr>
        <w:t>水土流失情况</w:t>
      </w:r>
    </w:p>
    <w:p>
      <w:pPr>
        <w:pStyle w:val="4"/>
        <w:spacing w:before="8"/>
        <w:rPr>
          <w:sz w:val="20"/>
        </w:rPr>
      </w:pPr>
    </w:p>
    <w:p>
      <w:pPr>
        <w:pStyle w:val="4"/>
        <w:ind w:left="670"/>
      </w:pPr>
      <w:r>
        <w:rPr>
          <w:spacing w:val="-14"/>
        </w:rPr>
        <w:t>水保方案编制时，项目尚未开工，根据对项目主体设计管线布线调查，</w:t>
      </w:r>
    </w:p>
    <w:p>
      <w:pPr>
        <w:spacing w:after="0"/>
        <w:sectPr>
          <w:pgSz w:w="11910" w:h="16840"/>
          <w:pgMar w:top="1300" w:right="1160" w:bottom="1200" w:left="1420" w:header="878" w:footer="1005" w:gutter="0"/>
          <w:cols w:space="720" w:num="1"/>
        </w:sectPr>
      </w:pPr>
    </w:p>
    <w:p>
      <w:pPr>
        <w:pStyle w:val="4"/>
        <w:spacing w:before="4"/>
        <w:rPr>
          <w:sz w:val="9"/>
        </w:rPr>
      </w:pPr>
    </w:p>
    <w:p>
      <w:pPr>
        <w:pStyle w:val="4"/>
        <w:spacing w:before="61" w:line="417" w:lineRule="auto"/>
        <w:ind w:left="111" w:right="251"/>
      </w:pPr>
      <w:r>
        <w:t>本工程大部分管线所经区域为建成区，地面均为硬质及绿化地表，抗蚀能力强，水土流失轻微。根据现场勘查项目区内土壤侵蚀背景值约为200t/km</w:t>
      </w:r>
      <w:r>
        <w:rPr>
          <w:position w:val="14"/>
          <w:sz w:val="14"/>
        </w:rPr>
        <w:t>2</w:t>
      </w:r>
      <w:r>
        <w:t>·a，可能产生的水土流失类型以水力侵蚀为主。</w:t>
      </w:r>
    </w:p>
    <w:p>
      <w:pPr>
        <w:pStyle w:val="4"/>
        <w:spacing w:line="417" w:lineRule="auto"/>
        <w:ind w:left="111" w:right="251" w:firstLine="559"/>
        <w:jc w:val="both"/>
      </w:pPr>
      <w:r>
        <w:t>根据现场勘查，本项目管线主要沿现状道路布设，部分管线在巷道内布设。现状道路主要为水泥路面和沥青路面，水土流失轻微。本工程将管网建设和道路改造相结合，工程完工后将大幅改善现状路况，河流疏导汇水，优化路面结构，水土流失隐患亦将随之降低。</w:t>
      </w:r>
    </w:p>
    <w:p>
      <w:pPr>
        <w:pStyle w:val="3"/>
        <w:ind w:left="684"/>
      </w:pPr>
      <w:bookmarkStart w:id="4" w:name="_TOC_250036"/>
      <w:bookmarkEnd w:id="4"/>
      <w:r>
        <w:t>3、工程建设水土流失问题</w:t>
      </w:r>
    </w:p>
    <w:p>
      <w:pPr>
        <w:pStyle w:val="4"/>
        <w:spacing w:before="9"/>
        <w:rPr>
          <w:b/>
          <w:sz w:val="20"/>
        </w:rPr>
      </w:pPr>
    </w:p>
    <w:p>
      <w:pPr>
        <w:pStyle w:val="4"/>
        <w:spacing w:line="417" w:lineRule="auto"/>
        <w:ind w:left="111" w:right="241" w:firstLine="573"/>
        <w:jc w:val="both"/>
      </w:pPr>
      <w:r>
        <w:rPr>
          <w:spacing w:val="-10"/>
        </w:rPr>
        <w:t xml:space="preserve">本项目实际挖方总量 </w:t>
      </w:r>
      <w:r>
        <w:rPr>
          <w:spacing w:val="-5"/>
        </w:rPr>
        <w:t>137656.2m</w:t>
      </w:r>
      <w:r>
        <w:rPr>
          <w:spacing w:val="-5"/>
          <w:position w:val="14"/>
          <w:sz w:val="14"/>
        </w:rPr>
        <w:t>3</w:t>
      </w:r>
      <w:r>
        <w:rPr>
          <w:spacing w:val="-18"/>
        </w:rPr>
        <w:t xml:space="preserve">，其中 </w:t>
      </w:r>
      <w:r>
        <w:t>7737m</w:t>
      </w:r>
      <w:r>
        <w:rPr>
          <w:position w:val="14"/>
          <w:sz w:val="14"/>
        </w:rPr>
        <w:t xml:space="preserve">3 </w:t>
      </w:r>
      <w:r>
        <w:rPr>
          <w:spacing w:val="-3"/>
        </w:rPr>
        <w:t>为建筑垃圾运至年丰建</w:t>
      </w:r>
      <w:r>
        <w:rPr>
          <w:spacing w:val="-10"/>
        </w:rPr>
        <w:t xml:space="preserve">筑垃圾循环利用厂，填方总量约 </w:t>
      </w:r>
      <w:r>
        <w:rPr>
          <w:spacing w:val="-3"/>
        </w:rPr>
        <w:t>84441m</w:t>
      </w:r>
      <w:r>
        <w:rPr>
          <w:spacing w:val="-3"/>
          <w:position w:val="14"/>
          <w:sz w:val="14"/>
        </w:rPr>
        <w:t>3</w:t>
      </w:r>
      <w:r>
        <w:rPr>
          <w:spacing w:val="-11"/>
        </w:rPr>
        <w:t xml:space="preserve">，挖填平衡后剩余 </w:t>
      </w:r>
      <w:r>
        <w:t>45478.2m</w:t>
      </w:r>
      <w:r>
        <w:rPr>
          <w:position w:val="14"/>
          <w:sz w:val="14"/>
        </w:rPr>
        <w:t xml:space="preserve">3 </w:t>
      </w:r>
      <w:r>
        <w:t>土方</w:t>
      </w:r>
      <w:r>
        <w:rPr>
          <w:spacing w:val="-3"/>
        </w:rPr>
        <w:t>全部运至坪地新坑临时受纳场。</w:t>
      </w:r>
    </w:p>
    <w:p>
      <w:pPr>
        <w:pStyle w:val="4"/>
        <w:spacing w:line="417" w:lineRule="auto"/>
        <w:ind w:left="111" w:right="243" w:firstLine="559"/>
        <w:jc w:val="both"/>
      </w:pPr>
      <w:r>
        <w:rPr>
          <w:spacing w:val="-3"/>
          <w:w w:val="100"/>
        </w:rPr>
        <w:t>项目施工过程中实际开挖和占压土地范围面积约为</w:t>
      </w:r>
      <w:r>
        <w:rPr>
          <w:spacing w:val="1"/>
          <w:w w:val="100"/>
        </w:rPr>
        <w:t>7</w:t>
      </w:r>
      <w:r>
        <w:rPr>
          <w:spacing w:val="-2"/>
          <w:w w:val="100"/>
        </w:rPr>
        <w:t>.3</w:t>
      </w:r>
      <w:r>
        <w:rPr>
          <w:spacing w:val="1"/>
          <w:w w:val="100"/>
        </w:rPr>
        <w:t>7</w:t>
      </w:r>
      <w:r>
        <w:rPr>
          <w:spacing w:val="-2"/>
          <w:w w:val="100"/>
        </w:rPr>
        <w:t>hm</w:t>
      </w:r>
      <w:r>
        <w:rPr>
          <w:w w:val="99"/>
          <w:position w:val="14"/>
          <w:sz w:val="14"/>
        </w:rPr>
        <w:t>2</w:t>
      </w:r>
      <w:r>
        <w:rPr>
          <w:spacing w:val="-15"/>
          <w:w w:val="100"/>
        </w:rPr>
        <w:t>，场地范围</w:t>
      </w:r>
      <w:r>
        <w:rPr>
          <w:spacing w:val="-5"/>
        </w:rPr>
        <w:t>内占地类型主要为道路和绿化带，管槽的开挖将会损坏现状道路和绿化地</w:t>
      </w:r>
      <w:r>
        <w:rPr>
          <w:spacing w:val="-3"/>
        </w:rPr>
        <w:t>表，所以本项目区损坏水保设施面积为管槽施工区面积，约为</w:t>
      </w:r>
      <w:r>
        <w:t>2.49hm</w:t>
      </w:r>
      <w:r>
        <w:rPr>
          <w:position w:val="14"/>
          <w:sz w:val="14"/>
        </w:rPr>
        <w:t>2</w:t>
      </w:r>
      <w:r>
        <w:t>。</w:t>
      </w:r>
    </w:p>
    <w:p>
      <w:pPr>
        <w:pStyle w:val="4"/>
        <w:spacing w:line="417" w:lineRule="auto"/>
        <w:ind w:left="111" w:right="102" w:firstLine="559"/>
      </w:pPr>
      <w:r>
        <w:rPr>
          <w:spacing w:val="-8"/>
        </w:rPr>
        <w:t>项目施工期间可能发生的水土流失类型和形式主要为水力侵蚀</w:t>
      </w:r>
      <w:r>
        <w:rPr>
          <w:spacing w:val="-3"/>
        </w:rPr>
        <w:t>（</w:t>
      </w:r>
      <w:r>
        <w:t>溅蚀、</w:t>
      </w:r>
      <w:r>
        <w:rPr>
          <w:spacing w:val="-3"/>
        </w:rPr>
        <w:t>面蚀、沟蚀</w:t>
      </w:r>
      <w:r>
        <w:t>）</w:t>
      </w:r>
      <w:r>
        <w:rPr>
          <w:spacing w:val="-3"/>
        </w:rPr>
        <w:t>及重力侵蚀。本项目可能造成的水土流失危害主要有：</w:t>
      </w:r>
    </w:p>
    <w:p>
      <w:pPr>
        <w:pStyle w:val="10"/>
        <w:numPr>
          <w:ilvl w:val="0"/>
          <w:numId w:val="2"/>
        </w:numPr>
        <w:tabs>
          <w:tab w:val="left" w:pos="1373"/>
        </w:tabs>
        <w:spacing w:before="0" w:after="0" w:line="358" w:lineRule="exact"/>
        <w:ind w:left="1372" w:right="0" w:hanging="703"/>
        <w:jc w:val="left"/>
        <w:rPr>
          <w:sz w:val="28"/>
        </w:rPr>
      </w:pPr>
      <w:r>
        <w:rPr>
          <w:spacing w:val="-3"/>
          <w:sz w:val="28"/>
        </w:rPr>
        <w:t>影响周边生态环境，加剧原有的水土流失</w:t>
      </w:r>
    </w:p>
    <w:p>
      <w:pPr>
        <w:pStyle w:val="4"/>
        <w:spacing w:before="7"/>
        <w:rPr>
          <w:sz w:val="20"/>
        </w:rPr>
      </w:pPr>
    </w:p>
    <w:p>
      <w:pPr>
        <w:pStyle w:val="4"/>
        <w:spacing w:line="417" w:lineRule="auto"/>
        <w:ind w:left="111" w:right="243" w:firstLine="559"/>
        <w:jc w:val="both"/>
      </w:pPr>
      <w:r>
        <w:t>工程建设的过程中，占用一定的土地，损坏原有表土层结构和地表植被，使其原有的水土保持功能降低或丧失，抗侵蚀能力减弱，雨季必然发生水力侵蚀。项目区扰动地表年侵蚀模数远远超过容许范围，从而加剧原有的水土流失。</w:t>
      </w:r>
    </w:p>
    <w:p>
      <w:pPr>
        <w:pStyle w:val="10"/>
        <w:numPr>
          <w:ilvl w:val="0"/>
          <w:numId w:val="2"/>
        </w:numPr>
        <w:tabs>
          <w:tab w:val="left" w:pos="1373"/>
        </w:tabs>
        <w:spacing w:before="0" w:after="0" w:line="358" w:lineRule="exact"/>
        <w:ind w:left="1372" w:right="0" w:hanging="703"/>
        <w:jc w:val="left"/>
        <w:rPr>
          <w:sz w:val="28"/>
        </w:rPr>
      </w:pPr>
      <w:r>
        <w:rPr>
          <w:spacing w:val="-3"/>
          <w:sz w:val="28"/>
        </w:rPr>
        <w:t>对工程项目本身可能造成的危害</w:t>
      </w:r>
    </w:p>
    <w:p>
      <w:pPr>
        <w:spacing w:after="0" w:line="358" w:lineRule="exact"/>
        <w:jc w:val="left"/>
        <w:rPr>
          <w:sz w:val="28"/>
        </w:rPr>
        <w:sectPr>
          <w:pgSz w:w="11910" w:h="16840"/>
          <w:pgMar w:top="1300" w:right="1160" w:bottom="1200" w:left="1420" w:header="878" w:footer="1005" w:gutter="0"/>
          <w:cols w:space="720" w:num="1"/>
        </w:sectPr>
      </w:pPr>
    </w:p>
    <w:p>
      <w:pPr>
        <w:pStyle w:val="4"/>
        <w:spacing w:before="4"/>
        <w:rPr>
          <w:sz w:val="9"/>
        </w:rPr>
      </w:pPr>
    </w:p>
    <w:p>
      <w:pPr>
        <w:pStyle w:val="4"/>
        <w:spacing w:before="61" w:line="417" w:lineRule="auto"/>
        <w:ind w:left="111" w:right="243" w:firstLine="559"/>
        <w:jc w:val="both"/>
      </w:pPr>
      <w:r>
        <w:t>管道沟槽开挖造成地表裸露，施工期间如未做好水土保持防护措施， 松散的土方随地表径流漫流，会对工程正常施工造成影响。故应做好临时拦挡及覆盖措施。</w:t>
      </w:r>
    </w:p>
    <w:p>
      <w:pPr>
        <w:pStyle w:val="10"/>
        <w:numPr>
          <w:ilvl w:val="0"/>
          <w:numId w:val="2"/>
        </w:numPr>
        <w:tabs>
          <w:tab w:val="left" w:pos="1373"/>
        </w:tabs>
        <w:spacing w:before="0" w:after="0" w:line="358" w:lineRule="exact"/>
        <w:ind w:left="1372" w:right="0" w:hanging="703"/>
        <w:jc w:val="left"/>
        <w:rPr>
          <w:sz w:val="28"/>
        </w:rPr>
      </w:pPr>
      <w:r>
        <w:rPr>
          <w:spacing w:val="-3"/>
          <w:sz w:val="28"/>
        </w:rPr>
        <w:t>对工程周边已建住宅的影响</w:t>
      </w:r>
    </w:p>
    <w:p>
      <w:pPr>
        <w:pStyle w:val="4"/>
        <w:spacing w:before="9"/>
        <w:rPr>
          <w:sz w:val="20"/>
        </w:rPr>
      </w:pPr>
    </w:p>
    <w:p>
      <w:pPr>
        <w:pStyle w:val="4"/>
        <w:spacing w:line="417" w:lineRule="auto"/>
        <w:ind w:left="111" w:right="243" w:firstLine="559"/>
        <w:jc w:val="both"/>
      </w:pPr>
      <w:r>
        <w:t>本工程两侧多为建成区，施工期如不采取有效的水土保持防护措施， 施工时开挖的土方在雨水作用下漫流到已建小区，不仅堵塞交通，影响城市卫生和行车安全，同时对居民的生产和生活产生影响。</w:t>
      </w:r>
    </w:p>
    <w:p>
      <w:pPr>
        <w:pStyle w:val="10"/>
        <w:numPr>
          <w:ilvl w:val="0"/>
          <w:numId w:val="2"/>
        </w:numPr>
        <w:tabs>
          <w:tab w:val="left" w:pos="1373"/>
        </w:tabs>
        <w:spacing w:before="0" w:after="0" w:line="358" w:lineRule="exact"/>
        <w:ind w:left="1372" w:right="0" w:hanging="703"/>
        <w:jc w:val="left"/>
        <w:rPr>
          <w:sz w:val="28"/>
        </w:rPr>
      </w:pPr>
      <w:r>
        <w:rPr>
          <w:spacing w:val="-3"/>
          <w:sz w:val="28"/>
        </w:rPr>
        <w:t>淤积周边市政排水系统</w:t>
      </w:r>
    </w:p>
    <w:p>
      <w:pPr>
        <w:pStyle w:val="4"/>
        <w:spacing w:before="9"/>
        <w:rPr>
          <w:sz w:val="20"/>
        </w:rPr>
      </w:pPr>
    </w:p>
    <w:p>
      <w:pPr>
        <w:pStyle w:val="4"/>
        <w:spacing w:line="417" w:lineRule="auto"/>
        <w:ind w:left="111" w:right="243" w:firstLine="559"/>
        <w:jc w:val="both"/>
      </w:pPr>
      <w:r>
        <w:t>本工程新建管道主要沿建成区铺设，如未做好洒水降尘、冲洗车辆轮胎等措施，尘土将洒落至周边道路，影响市容市貌，降低空气质量，同时会造成一定的水土流失。</w:t>
      </w:r>
    </w:p>
    <w:p>
      <w:pPr>
        <w:pStyle w:val="4"/>
        <w:spacing w:line="417" w:lineRule="auto"/>
        <w:ind w:left="111" w:right="243" w:firstLine="559"/>
        <w:jc w:val="both"/>
      </w:pPr>
      <w:r>
        <w:t>施工期间的汇水进入市政道路现有雨水管网，如未做好临时拦挡、沉砂措施，携沙径流直接进入雨水管网，将造成管道堵塞，影响城市的排洪系统。</w:t>
      </w:r>
    </w:p>
    <w:p>
      <w:pPr>
        <w:spacing w:after="0" w:line="417" w:lineRule="auto"/>
        <w:jc w:val="both"/>
        <w:sectPr>
          <w:pgSz w:w="11910" w:h="16840"/>
          <w:pgMar w:top="1300" w:right="1160" w:bottom="1200" w:left="1420" w:header="878" w:footer="1005" w:gutter="0"/>
          <w:cols w:space="720" w:num="1"/>
        </w:sectPr>
      </w:pPr>
    </w:p>
    <w:p>
      <w:pPr>
        <w:pStyle w:val="2"/>
        <w:spacing w:before="50"/>
      </w:pPr>
      <w:bookmarkStart w:id="5" w:name="_TOC_250035"/>
      <w:bookmarkEnd w:id="5"/>
      <w:r>
        <w:t>三、水土保持方案和设计情况</w:t>
      </w:r>
    </w:p>
    <w:p>
      <w:pPr>
        <w:pStyle w:val="4"/>
        <w:spacing w:before="9"/>
        <w:rPr>
          <w:rFonts w:ascii="黑体"/>
          <w:b/>
          <w:sz w:val="31"/>
        </w:rPr>
      </w:pPr>
    </w:p>
    <w:p>
      <w:pPr>
        <w:pStyle w:val="3"/>
        <w:spacing w:line="240" w:lineRule="auto"/>
        <w:ind w:left="660"/>
      </w:pPr>
      <w:bookmarkStart w:id="6" w:name="_TOC_250034"/>
      <w:bookmarkEnd w:id="6"/>
      <w:r>
        <w:t>1、方案报批和工程设计过程</w:t>
      </w:r>
    </w:p>
    <w:p>
      <w:pPr>
        <w:pStyle w:val="4"/>
        <w:spacing w:before="9"/>
        <w:rPr>
          <w:b/>
          <w:sz w:val="20"/>
        </w:rPr>
      </w:pPr>
    </w:p>
    <w:p>
      <w:pPr>
        <w:pStyle w:val="4"/>
        <w:spacing w:line="417" w:lineRule="auto"/>
        <w:ind w:left="111" w:right="243" w:firstLine="559"/>
        <w:jc w:val="both"/>
      </w:pPr>
      <w:r>
        <w:t>为了预防和治理本项目在生产建设过程中产生新的水土流失，保护和合理利用水土资源，改善生态环境，根据《中华人民共和国水土保持法》以及深圳市制定的水土保持有关规定，建设单位委托我司承担本项目的水土保持方案编制工作。</w:t>
      </w:r>
    </w:p>
    <w:p>
      <w:pPr>
        <w:pStyle w:val="4"/>
        <w:spacing w:line="417" w:lineRule="auto"/>
        <w:ind w:left="111" w:right="102" w:firstLine="559"/>
      </w:pPr>
      <w:r>
        <w:t>2015</w:t>
      </w:r>
      <w:r>
        <w:rPr>
          <w:spacing w:val="-47"/>
        </w:rPr>
        <w:t xml:space="preserve"> 年 </w:t>
      </w:r>
      <w:r>
        <w:t>7</w:t>
      </w:r>
      <w:r>
        <w:rPr>
          <w:spacing w:val="-13"/>
        </w:rPr>
        <w:t xml:space="preserve"> 月，我司编制完成了《深圳市龙岗区龙城街道龙西社区雨污</w:t>
      </w:r>
      <w:r>
        <w:rPr>
          <w:spacing w:val="-3"/>
        </w:rPr>
        <w:t>分流管网工程水土保持方案报告表</w:t>
      </w:r>
      <w:r>
        <w:rPr>
          <w:spacing w:val="-207"/>
        </w:rPr>
        <w:t>》</w:t>
      </w:r>
      <w:r>
        <w:t>（</w:t>
      </w:r>
      <w:r>
        <w:rPr>
          <w:spacing w:val="-2"/>
        </w:rPr>
        <w:t>送审稿</w:t>
      </w:r>
      <w:r>
        <w:rPr>
          <w:spacing w:val="-105"/>
        </w:rPr>
        <w:t>）</w:t>
      </w:r>
      <w:r>
        <w:rPr>
          <w:spacing w:val="-12"/>
        </w:rPr>
        <w:t xml:space="preserve">，并于当月通过了专家评审， </w:t>
      </w:r>
      <w:r>
        <w:rPr>
          <w:spacing w:val="-5"/>
        </w:rPr>
        <w:t>按照评审意见，完成了《深圳市龙岗区龙城街道龙西社区雨污分流管网工</w:t>
      </w:r>
      <w:r>
        <w:rPr>
          <w:spacing w:val="-14"/>
          <w:w w:val="100"/>
        </w:rPr>
        <w:t>程水土保持方案报告表》</w:t>
      </w:r>
      <w:r>
        <w:rPr>
          <w:spacing w:val="2"/>
          <w:w w:val="100"/>
        </w:rPr>
        <w:t>（</w:t>
      </w:r>
      <w:r>
        <w:rPr>
          <w:w w:val="100"/>
        </w:rPr>
        <w:t>报批稿</w:t>
      </w:r>
      <w:r>
        <w:rPr>
          <w:spacing w:val="-140"/>
          <w:w w:val="100"/>
        </w:rPr>
        <w:t>）</w:t>
      </w:r>
      <w:r>
        <w:rPr>
          <w:spacing w:val="2"/>
          <w:w w:val="100"/>
        </w:rPr>
        <w:t>；</w:t>
      </w:r>
      <w:r>
        <w:rPr>
          <w:spacing w:val="1"/>
          <w:w w:val="100"/>
        </w:rPr>
        <w:t>2</w:t>
      </w:r>
      <w:r>
        <w:rPr>
          <w:spacing w:val="-2"/>
          <w:w w:val="100"/>
        </w:rPr>
        <w:t>01</w:t>
      </w:r>
      <w:r>
        <w:rPr>
          <w:w w:val="100"/>
        </w:rPr>
        <w:t>5</w:t>
      </w:r>
      <w:r>
        <w:rPr>
          <w:spacing w:val="-67"/>
        </w:rPr>
        <w:t xml:space="preserve"> </w:t>
      </w:r>
      <w:r>
        <w:rPr>
          <w:w w:val="100"/>
        </w:rPr>
        <w:t>年</w:t>
      </w:r>
      <w:r>
        <w:rPr>
          <w:spacing w:val="-69"/>
        </w:rPr>
        <w:t xml:space="preserve"> </w:t>
      </w:r>
      <w:r>
        <w:rPr>
          <w:w w:val="100"/>
        </w:rPr>
        <w:t>7</w:t>
      </w:r>
      <w:r>
        <w:rPr>
          <w:spacing w:val="-70"/>
        </w:rPr>
        <w:t xml:space="preserve"> </w:t>
      </w:r>
      <w:r>
        <w:rPr>
          <w:w w:val="100"/>
        </w:rPr>
        <w:t>月</w:t>
      </w:r>
      <w:r>
        <w:rPr>
          <w:spacing w:val="-69"/>
        </w:rPr>
        <w:t xml:space="preserve"> </w:t>
      </w:r>
      <w:r>
        <w:rPr>
          <w:spacing w:val="1"/>
          <w:w w:val="100"/>
        </w:rPr>
        <w:t>2</w:t>
      </w:r>
      <w:r>
        <w:rPr>
          <w:w w:val="100"/>
        </w:rPr>
        <w:t>3</w:t>
      </w:r>
      <w:r>
        <w:rPr>
          <w:spacing w:val="-70"/>
        </w:rPr>
        <w:t xml:space="preserve"> </w:t>
      </w:r>
      <w:r>
        <w:rPr>
          <w:w w:val="100"/>
        </w:rPr>
        <w:t>日，深圳市龙岗区环</w:t>
      </w:r>
      <w:r>
        <w:rPr>
          <w:spacing w:val="-5"/>
        </w:rPr>
        <w:t>境保护和水务局以深龙环水保复【</w:t>
      </w:r>
      <w:r>
        <w:t>2015</w:t>
      </w:r>
      <w:r>
        <w:rPr>
          <w:spacing w:val="-22"/>
        </w:rPr>
        <w:t>】</w:t>
      </w:r>
      <w:r>
        <w:t>25</w:t>
      </w:r>
      <w:r>
        <w:rPr>
          <w:spacing w:val="-11"/>
        </w:rPr>
        <w:t xml:space="preserve"> 号文批复了《深圳市龙岗区龙城街道龙西社区雨污分流管网工程水土保持方案报告表》。</w:t>
      </w:r>
    </w:p>
    <w:p>
      <w:pPr>
        <w:pStyle w:val="4"/>
        <w:spacing w:line="417" w:lineRule="auto"/>
        <w:ind w:left="111" w:right="243" w:firstLine="559"/>
      </w:pPr>
      <w:r>
        <w:t>本项目并未进行后续的水土保持初步设计和施工图设计，水土保持工程和主体工程设计未发生重大变更。</w:t>
      </w:r>
    </w:p>
    <w:p>
      <w:pPr>
        <w:pStyle w:val="3"/>
        <w:ind w:left="660"/>
      </w:pPr>
      <w:bookmarkStart w:id="7" w:name="_TOC_250033"/>
      <w:bookmarkEnd w:id="7"/>
      <w:r>
        <w:t>2、水土保持设计情况</w:t>
      </w:r>
    </w:p>
    <w:p>
      <w:pPr>
        <w:pStyle w:val="4"/>
        <w:spacing w:before="7"/>
        <w:rPr>
          <w:b/>
          <w:sz w:val="20"/>
        </w:rPr>
      </w:pPr>
    </w:p>
    <w:p>
      <w:pPr>
        <w:pStyle w:val="10"/>
        <w:numPr>
          <w:ilvl w:val="0"/>
          <w:numId w:val="3"/>
        </w:numPr>
        <w:tabs>
          <w:tab w:val="left" w:pos="1373"/>
        </w:tabs>
        <w:spacing w:before="0" w:after="0" w:line="240" w:lineRule="auto"/>
        <w:ind w:left="1372" w:right="0" w:hanging="703"/>
        <w:jc w:val="left"/>
        <w:rPr>
          <w:sz w:val="28"/>
        </w:rPr>
      </w:pPr>
      <w:r>
        <w:rPr>
          <w:spacing w:val="-3"/>
          <w:sz w:val="28"/>
        </w:rPr>
        <w:t>水土流失防治目标</w:t>
      </w:r>
    </w:p>
    <w:p>
      <w:pPr>
        <w:pStyle w:val="4"/>
        <w:spacing w:before="9"/>
        <w:rPr>
          <w:sz w:val="20"/>
        </w:rPr>
      </w:pPr>
    </w:p>
    <w:p>
      <w:pPr>
        <w:pStyle w:val="4"/>
        <w:ind w:left="670"/>
      </w:pPr>
      <w:r>
        <w:t>本项目水保方案水土保持防治目标具体指标详见下表3-1。</w:t>
      </w:r>
    </w:p>
    <w:p>
      <w:pPr>
        <w:pStyle w:val="4"/>
        <w:spacing w:before="11"/>
      </w:pPr>
    </w:p>
    <w:p>
      <w:pPr>
        <w:tabs>
          <w:tab w:val="left" w:pos="1207"/>
        </w:tabs>
        <w:spacing w:before="0"/>
        <w:ind w:left="0" w:right="125" w:firstLine="0"/>
        <w:jc w:val="center"/>
        <w:rPr>
          <w:rFonts w:hint="eastAsia" w:ascii="宋体" w:eastAsia="宋体"/>
          <w:b/>
          <w:sz w:val="24"/>
        </w:rPr>
      </w:pPr>
      <w:r>
        <w:drawing>
          <wp:anchor distT="0" distB="0" distL="0" distR="0" simplePos="0" relativeHeight="251659264" behindDoc="0" locked="0" layoutInCell="1" allowOverlap="1">
            <wp:simplePos x="0" y="0"/>
            <wp:positionH relativeFrom="page">
              <wp:posOffset>1094105</wp:posOffset>
            </wp:positionH>
            <wp:positionV relativeFrom="paragraph">
              <wp:posOffset>245745</wp:posOffset>
            </wp:positionV>
            <wp:extent cx="5459095" cy="1049655"/>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12" cstate="print"/>
                    <a:stretch>
                      <a:fillRect/>
                    </a:stretch>
                  </pic:blipFill>
                  <pic:spPr>
                    <a:xfrm>
                      <a:off x="0" y="0"/>
                      <a:ext cx="5458816" cy="1049655"/>
                    </a:xfrm>
                    <a:prstGeom prst="rect">
                      <a:avLst/>
                    </a:prstGeom>
                  </pic:spPr>
                </pic:pic>
              </a:graphicData>
            </a:graphic>
          </wp:anchor>
        </w:drawing>
      </w:r>
      <w:r>
        <w:rPr>
          <w:rFonts w:hint="eastAsia" w:ascii="宋体" w:eastAsia="宋体"/>
          <w:b/>
          <w:sz w:val="24"/>
        </w:rPr>
        <w:t>表3-1</w:t>
      </w:r>
      <w:r>
        <w:rPr>
          <w:rFonts w:hint="eastAsia" w:ascii="宋体" w:eastAsia="宋体"/>
          <w:b/>
          <w:sz w:val="24"/>
        </w:rPr>
        <w:tab/>
      </w:r>
      <w:r>
        <w:rPr>
          <w:rFonts w:hint="eastAsia" w:ascii="宋体" w:eastAsia="宋体"/>
          <w:b/>
          <w:sz w:val="24"/>
        </w:rPr>
        <w:t>防治目标</w:t>
      </w:r>
    </w:p>
    <w:p>
      <w:pPr>
        <w:pStyle w:val="4"/>
        <w:rPr>
          <w:rFonts w:ascii="宋体"/>
          <w:b/>
          <w:sz w:val="20"/>
        </w:rPr>
      </w:pPr>
    </w:p>
    <w:p>
      <w:pPr>
        <w:pStyle w:val="10"/>
        <w:numPr>
          <w:ilvl w:val="0"/>
          <w:numId w:val="3"/>
        </w:numPr>
        <w:tabs>
          <w:tab w:val="left" w:pos="1373"/>
        </w:tabs>
        <w:spacing w:before="0" w:after="0" w:line="240" w:lineRule="auto"/>
        <w:ind w:left="1372" w:right="0" w:hanging="703"/>
        <w:jc w:val="left"/>
        <w:rPr>
          <w:sz w:val="28"/>
        </w:rPr>
      </w:pPr>
      <w:r>
        <w:rPr>
          <w:spacing w:val="-3"/>
          <w:sz w:val="28"/>
        </w:rPr>
        <w:t>水土保持防治措施设计</w:t>
      </w:r>
    </w:p>
    <w:p>
      <w:pPr>
        <w:spacing w:after="0" w:line="240" w:lineRule="auto"/>
        <w:jc w:val="left"/>
        <w:rPr>
          <w:sz w:val="28"/>
        </w:rPr>
        <w:sectPr>
          <w:pgSz w:w="11910" w:h="16840"/>
          <w:pgMar w:top="1300" w:right="1160" w:bottom="1200" w:left="1420" w:header="878" w:footer="1005" w:gutter="0"/>
          <w:cols w:space="720" w:num="1"/>
        </w:sectPr>
      </w:pPr>
    </w:p>
    <w:p>
      <w:pPr>
        <w:pStyle w:val="4"/>
        <w:spacing w:before="4"/>
        <w:rPr>
          <w:sz w:val="9"/>
        </w:rPr>
      </w:pPr>
    </w:p>
    <w:p>
      <w:pPr>
        <w:pStyle w:val="4"/>
        <w:spacing w:before="61" w:line="417" w:lineRule="auto"/>
        <w:ind w:left="111" w:right="242" w:firstLine="568"/>
        <w:jc w:val="both"/>
      </w:pPr>
      <w:r>
        <w:rPr>
          <w:spacing w:val="-10"/>
        </w:rPr>
        <w:t>根据批复《方案》，本项目采取的水土保持措施主要有：排水工程、</w:t>
      </w:r>
      <w:r>
        <w:rPr>
          <w:spacing w:val="-11"/>
        </w:rPr>
        <w:t xml:space="preserve">拦挡工程和覆盖工程，布设于管槽施工区、施工便道区换人材料堆放区 </w:t>
      </w:r>
      <w:r>
        <w:t xml:space="preserve">3 </w:t>
      </w:r>
      <w:r>
        <w:rPr>
          <w:spacing w:val="-3"/>
        </w:rPr>
        <w:t>个防治分区，施工期各项水保措施的主要设计标准、要点及工程量如下：</w:t>
      </w:r>
    </w:p>
    <w:p>
      <w:pPr>
        <w:pStyle w:val="10"/>
        <w:numPr>
          <w:ilvl w:val="0"/>
          <w:numId w:val="4"/>
        </w:numPr>
        <w:tabs>
          <w:tab w:val="left" w:pos="1094"/>
        </w:tabs>
        <w:spacing w:before="0" w:after="0" w:line="358" w:lineRule="exact"/>
        <w:ind w:left="1094" w:right="0" w:hanging="424"/>
        <w:jc w:val="left"/>
        <w:rPr>
          <w:sz w:val="28"/>
        </w:rPr>
      </w:pPr>
      <w:r>
        <w:rPr>
          <w:spacing w:val="-2"/>
          <w:sz w:val="28"/>
        </w:rPr>
        <w:t>管道施工期</w:t>
      </w:r>
    </w:p>
    <w:p>
      <w:pPr>
        <w:pStyle w:val="4"/>
        <w:spacing w:before="9"/>
        <w:rPr>
          <w:sz w:val="20"/>
        </w:rPr>
      </w:pPr>
    </w:p>
    <w:p>
      <w:pPr>
        <w:pStyle w:val="4"/>
        <w:ind w:left="670"/>
        <w:jc w:val="both"/>
      </w:pPr>
      <w:r>
        <w:t>① 管槽施工区</w:t>
      </w:r>
    </w:p>
    <w:p>
      <w:pPr>
        <w:pStyle w:val="4"/>
        <w:spacing w:before="9"/>
        <w:rPr>
          <w:sz w:val="20"/>
        </w:rPr>
      </w:pPr>
    </w:p>
    <w:p>
      <w:pPr>
        <w:pStyle w:val="4"/>
        <w:spacing w:line="417" w:lineRule="auto"/>
        <w:ind w:left="111" w:right="251" w:firstLine="559"/>
        <w:jc w:val="both"/>
      </w:pPr>
      <w:r>
        <w:t>沿现状社区道路进行管道开挖，主要采用放坡支护、槽钢支护、钢板桩支护、板式支撑方式。方案根据现场情况，对区内主干道和有堆土区域的路段施工作业面沟槽一侧为材料堆放区，主要为施工人员施工作业面， 堆放少量施工材料，另一侧为施工便道；部分巷道由于空间有限，无堆土空间，对巷道内管沟开挖产生的土方采用即挖即运的方式，沟槽两侧主要为施工人员施工作业面。</w:t>
      </w:r>
    </w:p>
    <w:p>
      <w:pPr>
        <w:pStyle w:val="4"/>
        <w:spacing w:line="357" w:lineRule="exact"/>
        <w:ind w:left="670"/>
      </w:pPr>
      <w:r>
        <w:t>a、主体设计</w:t>
      </w:r>
    </w:p>
    <w:p>
      <w:pPr>
        <w:pStyle w:val="4"/>
        <w:spacing w:before="9"/>
        <w:rPr>
          <w:sz w:val="20"/>
        </w:rPr>
      </w:pPr>
    </w:p>
    <w:p>
      <w:pPr>
        <w:pStyle w:val="4"/>
        <w:spacing w:line="417" w:lineRule="auto"/>
        <w:ind w:left="111" w:right="246" w:firstLine="559"/>
        <w:jc w:val="both"/>
      </w:pPr>
      <w:r>
        <w:rPr>
          <w:b/>
        </w:rPr>
        <w:t>施工护栏：</w:t>
      </w:r>
      <w:r>
        <w:t>管道施工所经区域均为建成区，人口密集，车辆众多，为保证施工期行人和车辆的安全，便于工地管理，用安全护栏进行围护施工作业区。</w:t>
      </w:r>
    </w:p>
    <w:p>
      <w:pPr>
        <w:pStyle w:val="4"/>
        <w:spacing w:line="417" w:lineRule="auto"/>
        <w:ind w:left="111" w:right="661" w:firstLine="559"/>
      </w:pPr>
      <w:r>
        <w:rPr>
          <w:b/>
        </w:rPr>
        <w:t>高压水枪冲洗措施:</w:t>
      </w:r>
      <w:r>
        <w:t>主体设计在车辆出入口处布设高压水枪冲洗措施，用于清洗进出的运土车辆，防止车辆将泥沙带入市政道路。</w:t>
      </w:r>
    </w:p>
    <w:p>
      <w:pPr>
        <w:pStyle w:val="4"/>
        <w:spacing w:line="358" w:lineRule="exact"/>
        <w:ind w:left="670"/>
      </w:pPr>
      <w:r>
        <w:t>b、方案设计</w:t>
      </w:r>
    </w:p>
    <w:p>
      <w:pPr>
        <w:pStyle w:val="4"/>
        <w:spacing w:before="9"/>
        <w:rPr>
          <w:sz w:val="20"/>
        </w:rPr>
      </w:pPr>
    </w:p>
    <w:p>
      <w:pPr>
        <w:pStyle w:val="4"/>
        <w:spacing w:line="417" w:lineRule="auto"/>
        <w:ind w:left="111" w:right="246" w:firstLine="559"/>
      </w:pPr>
      <w:r>
        <w:rPr>
          <w:b/>
        </w:rPr>
        <w:t>集水井：</w:t>
      </w:r>
      <w:r>
        <w:t>方案设计土质集水井，用于管沟内汇水的收集，主要布设在拐角处和现状雨污井周围，方便管沟内汇水的抽排。</w:t>
      </w:r>
    </w:p>
    <w:p>
      <w:pPr>
        <w:pStyle w:val="4"/>
        <w:spacing w:line="417" w:lineRule="auto"/>
        <w:ind w:left="111" w:right="243" w:firstLine="559"/>
      </w:pPr>
      <w:r>
        <w:rPr>
          <w:b/>
        </w:rPr>
        <w:t>移动沉砂池：</w:t>
      </w:r>
      <w:r>
        <w:rPr>
          <w:spacing w:val="-3"/>
        </w:rPr>
        <w:t>考虑到管线分段施工，时间较短，方案设计沿线采用移</w:t>
      </w:r>
      <w:r>
        <w:rPr>
          <w:spacing w:val="-10"/>
        </w:rPr>
        <w:t>动沉砂池，沉砂池断面为长</w:t>
      </w:r>
      <w:r>
        <w:t>*</w:t>
      </w:r>
      <w:r>
        <w:rPr>
          <w:spacing w:val="-3"/>
        </w:rPr>
        <w:t>宽</w:t>
      </w:r>
      <w:r>
        <w:t>*</w:t>
      </w:r>
      <w:r>
        <w:rPr>
          <w:spacing w:val="-4"/>
        </w:rPr>
        <w:t>深=</w:t>
      </w:r>
      <w:r>
        <w:rPr>
          <w:spacing w:val="-5"/>
        </w:rPr>
        <w:t>2.0m*1.5m*1.2m</w:t>
      </w:r>
      <w:r>
        <w:rPr>
          <w:spacing w:val="-3"/>
        </w:rPr>
        <w:t>，木质箱用于沟内泥沙</w:t>
      </w:r>
    </w:p>
    <w:p>
      <w:pPr>
        <w:spacing w:after="0" w:line="417" w:lineRule="auto"/>
        <w:sectPr>
          <w:pgSz w:w="11910" w:h="16840"/>
          <w:pgMar w:top="1300" w:right="1160" w:bottom="1200" w:left="1420" w:header="878" w:footer="1005" w:gutter="0"/>
          <w:cols w:space="720" w:num="1"/>
        </w:sectPr>
      </w:pPr>
    </w:p>
    <w:p>
      <w:pPr>
        <w:pStyle w:val="4"/>
        <w:spacing w:before="4"/>
        <w:rPr>
          <w:sz w:val="9"/>
        </w:rPr>
      </w:pPr>
    </w:p>
    <w:p>
      <w:pPr>
        <w:pStyle w:val="4"/>
        <w:spacing w:before="61"/>
        <w:ind w:left="111"/>
      </w:pPr>
      <w:r>
        <w:t>沉淀，移动方便，可重复利用。</w:t>
      </w:r>
    </w:p>
    <w:p>
      <w:pPr>
        <w:pStyle w:val="4"/>
        <w:spacing w:before="9"/>
        <w:rPr>
          <w:sz w:val="20"/>
        </w:rPr>
      </w:pPr>
    </w:p>
    <w:p>
      <w:pPr>
        <w:pStyle w:val="4"/>
        <w:spacing w:line="417" w:lineRule="auto"/>
        <w:ind w:left="111" w:right="246" w:firstLine="559"/>
      </w:pPr>
      <w:r>
        <w:rPr>
          <w:b/>
        </w:rPr>
        <w:t>沙袋拦挡：</w:t>
      </w:r>
      <w:r>
        <w:t>方案设计在主体设计的施工护栏内侧布设沙袋拦挡，用于拦截汇水和泥沙。</w:t>
      </w:r>
    </w:p>
    <w:p>
      <w:pPr>
        <w:pStyle w:val="4"/>
        <w:spacing w:line="358" w:lineRule="exact"/>
        <w:ind w:left="670"/>
      </w:pPr>
      <w:r>
        <w:t>② 施工便道区</w:t>
      </w:r>
    </w:p>
    <w:p>
      <w:pPr>
        <w:pStyle w:val="4"/>
        <w:spacing w:before="9"/>
        <w:rPr>
          <w:sz w:val="20"/>
        </w:rPr>
      </w:pPr>
    </w:p>
    <w:p>
      <w:pPr>
        <w:pStyle w:val="4"/>
        <w:spacing w:line="417" w:lineRule="auto"/>
        <w:ind w:left="111" w:right="253" w:firstLine="559"/>
      </w:pPr>
      <w:r>
        <w:t>该区域为方便管线施工，沿管线施工沿线布设的临时施工便道，该区域应采取硬化处理，避免地表裸露，造成水土流失。</w:t>
      </w:r>
    </w:p>
    <w:p>
      <w:pPr>
        <w:pStyle w:val="4"/>
        <w:spacing w:line="358" w:lineRule="exact"/>
        <w:ind w:left="670"/>
      </w:pPr>
      <w:r>
        <w:t>③ 材料堆放区</w:t>
      </w:r>
    </w:p>
    <w:p>
      <w:pPr>
        <w:pStyle w:val="4"/>
        <w:spacing w:before="9"/>
        <w:rPr>
          <w:sz w:val="20"/>
        </w:rPr>
      </w:pPr>
    </w:p>
    <w:p>
      <w:pPr>
        <w:pStyle w:val="4"/>
        <w:spacing w:line="417" w:lineRule="auto"/>
        <w:ind w:left="111" w:right="253" w:firstLine="559"/>
      </w:pPr>
      <w:r>
        <w:rPr>
          <w:spacing w:val="-3"/>
        </w:rPr>
        <w:t>该区域占地均为现状路面，施工期该区主要作为施工人员通行及施工材料的临时堆放。根据场地条件和施工情况，材料堆放区布设范围为0.5m-1.5m</w:t>
      </w:r>
      <w:r>
        <w:rPr>
          <w:spacing w:val="-10"/>
        </w:rPr>
        <w:t xml:space="preserve"> 宽，在临近沟槽侧布设沙袋拦挡，用于拦挡和安全防护，并在</w:t>
      </w:r>
      <w:r>
        <w:rPr>
          <w:spacing w:val="-4"/>
        </w:rPr>
        <w:t>靠近道路侧布设施工护栏，达到文明施工的要求。</w:t>
      </w:r>
    </w:p>
    <w:p>
      <w:pPr>
        <w:pStyle w:val="10"/>
        <w:numPr>
          <w:ilvl w:val="0"/>
          <w:numId w:val="4"/>
        </w:numPr>
        <w:tabs>
          <w:tab w:val="left" w:pos="1094"/>
        </w:tabs>
        <w:spacing w:before="0" w:after="0" w:line="358" w:lineRule="exact"/>
        <w:ind w:left="1094" w:right="0" w:hanging="424"/>
        <w:jc w:val="left"/>
        <w:rPr>
          <w:sz w:val="28"/>
        </w:rPr>
      </w:pPr>
      <w:r>
        <w:rPr>
          <w:spacing w:val="-3"/>
          <w:sz w:val="28"/>
        </w:rPr>
        <w:t>全路面恢复工程施工期</w:t>
      </w:r>
    </w:p>
    <w:p>
      <w:pPr>
        <w:pStyle w:val="4"/>
        <w:spacing w:before="9"/>
        <w:rPr>
          <w:sz w:val="20"/>
        </w:rPr>
      </w:pPr>
    </w:p>
    <w:p>
      <w:pPr>
        <w:pStyle w:val="4"/>
        <w:spacing w:line="417" w:lineRule="auto"/>
        <w:ind w:left="111" w:right="253" w:firstLine="559"/>
      </w:pPr>
      <w:r>
        <w:t>该期主要进行路面恢复和改造，可能产生水土流失的环节是路面破除产生的建筑垃圾和形成的大面积裸露地表。</w:t>
      </w:r>
    </w:p>
    <w:p>
      <w:pPr>
        <w:pStyle w:val="4"/>
        <w:spacing w:line="417" w:lineRule="auto"/>
        <w:ind w:left="111" w:right="253" w:firstLine="559"/>
      </w:pPr>
      <w:r>
        <w:t>安全护栏：该期实行封闭式施工，施工护栏充分结合管沟施工区进行合理布设，主要是道路交叉口及人流量大的位置进行布设。</w:t>
      </w:r>
    </w:p>
    <w:p>
      <w:pPr>
        <w:pStyle w:val="4"/>
        <w:spacing w:line="417" w:lineRule="auto"/>
        <w:ind w:left="111" w:right="253" w:firstLine="559"/>
      </w:pPr>
      <w:r>
        <w:t>沙袋拦挡：方案设计对破除路面产生的建筑垃圾应即挖即装即运，管沟施工期间的沙袋拦挡可循环利用。</w:t>
      </w:r>
    </w:p>
    <w:p>
      <w:pPr>
        <w:pStyle w:val="4"/>
        <w:spacing w:line="417" w:lineRule="auto"/>
        <w:ind w:left="111" w:right="253" w:firstLine="559"/>
      </w:pPr>
      <w:r>
        <w:t>从水土保持生态性角度出发，人行道恢复应采用透水砖铺筑；路面采取透水沥青铺筑。</w:t>
      </w:r>
    </w:p>
    <w:p>
      <w:pPr>
        <w:pStyle w:val="4"/>
        <w:spacing w:line="358" w:lineRule="exact"/>
        <w:ind w:left="670"/>
      </w:pPr>
      <w:r>
        <w:t>水保方案中统计的水土保持措施工程量详见下表——</w:t>
      </w:r>
    </w:p>
    <w:p>
      <w:pPr>
        <w:spacing w:after="0" w:line="358" w:lineRule="exact"/>
        <w:sectPr>
          <w:footerReference r:id="rId7" w:type="default"/>
          <w:pgSz w:w="11910" w:h="16840"/>
          <w:pgMar w:top="1300" w:right="1160" w:bottom="1200" w:left="1420" w:header="878" w:footer="1005" w:gutter="0"/>
          <w:pgNumType w:start="10"/>
          <w:cols w:space="720" w:num="1"/>
        </w:sectPr>
      </w:pPr>
    </w:p>
    <w:p>
      <w:pPr>
        <w:tabs>
          <w:tab w:val="left" w:pos="1264"/>
        </w:tabs>
        <w:spacing w:before="127"/>
        <w:ind w:left="0" w:right="118" w:firstLine="0"/>
        <w:jc w:val="center"/>
        <w:rPr>
          <w:rFonts w:hint="eastAsia" w:ascii="宋体" w:eastAsia="宋体"/>
          <w:b/>
          <w:sz w:val="24"/>
        </w:rPr>
      </w:pPr>
      <w:r>
        <w:rPr>
          <w:rFonts w:hint="eastAsia" w:ascii="宋体" w:eastAsia="宋体"/>
          <w:b/>
          <w:sz w:val="24"/>
        </w:rPr>
        <w:t>表</w:t>
      </w:r>
      <w:r>
        <w:rPr>
          <w:rFonts w:hint="eastAsia" w:ascii="宋体" w:eastAsia="宋体"/>
          <w:b/>
          <w:spacing w:val="-62"/>
          <w:sz w:val="24"/>
        </w:rPr>
        <w:t xml:space="preserve"> </w:t>
      </w:r>
      <w:r>
        <w:rPr>
          <w:rFonts w:hint="eastAsia" w:ascii="宋体" w:eastAsia="宋体"/>
          <w:b/>
          <w:sz w:val="24"/>
        </w:rPr>
        <w:t>3-2</w:t>
      </w:r>
      <w:r>
        <w:rPr>
          <w:rFonts w:hint="eastAsia" w:ascii="宋体" w:eastAsia="宋体"/>
          <w:b/>
          <w:sz w:val="24"/>
        </w:rPr>
        <w:tab/>
      </w:r>
      <w:r>
        <w:rPr>
          <w:rFonts w:hint="eastAsia" w:ascii="宋体" w:eastAsia="宋体"/>
          <w:b/>
          <w:sz w:val="24"/>
        </w:rPr>
        <w:t>水土保持措施工程量统计表</w:t>
      </w:r>
    </w:p>
    <w:p>
      <w:pPr>
        <w:pStyle w:val="4"/>
        <w:spacing w:before="4"/>
        <w:rPr>
          <w:rFonts w:ascii="宋体"/>
          <w:b/>
          <w:sz w:val="6"/>
        </w:rPr>
      </w:pPr>
    </w:p>
    <w:tbl>
      <w:tblPr>
        <w:tblStyle w:val="7"/>
        <w:tblW w:w="0" w:type="auto"/>
        <w:tblInd w:w="71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911"/>
        <w:gridCol w:w="3100"/>
        <w:gridCol w:w="1440"/>
        <w:gridCol w:w="234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8" w:hRule="atLeast"/>
        </w:trPr>
        <w:tc>
          <w:tcPr>
            <w:tcW w:w="911" w:type="dxa"/>
            <w:tcBorders>
              <w:bottom w:val="single" w:color="000000" w:sz="4" w:space="0"/>
              <w:right w:val="single" w:color="000000" w:sz="4" w:space="0"/>
            </w:tcBorders>
          </w:tcPr>
          <w:p>
            <w:pPr>
              <w:pStyle w:val="11"/>
              <w:spacing w:before="99"/>
              <w:ind w:left="222" w:right="206"/>
              <w:rPr>
                <w:b/>
                <w:sz w:val="21"/>
              </w:rPr>
            </w:pPr>
            <w:r>
              <w:rPr>
                <w:b/>
                <w:sz w:val="21"/>
              </w:rPr>
              <w:t>序号</w:t>
            </w:r>
          </w:p>
        </w:tc>
        <w:tc>
          <w:tcPr>
            <w:tcW w:w="3100" w:type="dxa"/>
            <w:tcBorders>
              <w:left w:val="single" w:color="000000" w:sz="4" w:space="0"/>
              <w:bottom w:val="single" w:color="000000" w:sz="4" w:space="0"/>
              <w:right w:val="single" w:color="000000" w:sz="4" w:space="0"/>
            </w:tcBorders>
          </w:tcPr>
          <w:p>
            <w:pPr>
              <w:pStyle w:val="11"/>
              <w:spacing w:before="99"/>
              <w:ind w:left="699" w:right="667"/>
              <w:rPr>
                <w:b/>
                <w:sz w:val="21"/>
              </w:rPr>
            </w:pPr>
            <w:r>
              <w:rPr>
                <w:b/>
                <w:sz w:val="21"/>
              </w:rPr>
              <w:t>措施名称</w:t>
            </w:r>
          </w:p>
        </w:tc>
        <w:tc>
          <w:tcPr>
            <w:tcW w:w="1440" w:type="dxa"/>
            <w:tcBorders>
              <w:left w:val="single" w:color="000000" w:sz="4" w:space="0"/>
              <w:bottom w:val="single" w:color="000000" w:sz="4" w:space="0"/>
              <w:right w:val="single" w:color="000000" w:sz="4" w:space="0"/>
            </w:tcBorders>
          </w:tcPr>
          <w:p>
            <w:pPr>
              <w:pStyle w:val="11"/>
              <w:spacing w:before="99"/>
              <w:ind w:left="498" w:right="470"/>
              <w:rPr>
                <w:b/>
                <w:sz w:val="21"/>
              </w:rPr>
            </w:pPr>
            <w:r>
              <w:rPr>
                <w:b/>
                <w:sz w:val="21"/>
              </w:rPr>
              <w:t>单位</w:t>
            </w:r>
          </w:p>
        </w:tc>
        <w:tc>
          <w:tcPr>
            <w:tcW w:w="2349" w:type="dxa"/>
            <w:tcBorders>
              <w:left w:val="single" w:color="000000" w:sz="4" w:space="0"/>
              <w:bottom w:val="single" w:color="000000" w:sz="4" w:space="0"/>
            </w:tcBorders>
          </w:tcPr>
          <w:p>
            <w:pPr>
              <w:pStyle w:val="11"/>
              <w:spacing w:before="99"/>
              <w:ind w:left="952" w:right="915"/>
              <w:rPr>
                <w:b/>
                <w:sz w:val="21"/>
              </w:rPr>
            </w:pPr>
            <w:r>
              <w:rPr>
                <w:b/>
                <w:sz w:val="21"/>
              </w:rPr>
              <w:t>数量</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911" w:type="dxa"/>
            <w:tcBorders>
              <w:top w:val="single" w:color="000000" w:sz="4" w:space="0"/>
              <w:bottom w:val="single" w:color="000000" w:sz="4" w:space="0"/>
              <w:right w:val="single" w:color="000000" w:sz="4" w:space="0"/>
            </w:tcBorders>
          </w:tcPr>
          <w:p>
            <w:pPr>
              <w:pStyle w:val="11"/>
              <w:spacing w:before="99"/>
              <w:ind w:left="17"/>
              <w:rPr>
                <w:sz w:val="21"/>
              </w:rPr>
            </w:pPr>
            <w:r>
              <w:rPr>
                <w:w w:val="99"/>
                <w:sz w:val="21"/>
              </w:rPr>
              <w:t>1</w:t>
            </w:r>
          </w:p>
        </w:tc>
        <w:tc>
          <w:tcPr>
            <w:tcW w:w="3100" w:type="dxa"/>
            <w:tcBorders>
              <w:top w:val="single" w:color="000000" w:sz="4" w:space="0"/>
              <w:left w:val="single" w:color="000000" w:sz="4" w:space="0"/>
              <w:bottom w:val="single" w:color="000000" w:sz="4" w:space="0"/>
              <w:right w:val="single" w:color="000000" w:sz="4" w:space="0"/>
            </w:tcBorders>
          </w:tcPr>
          <w:p>
            <w:pPr>
              <w:pStyle w:val="11"/>
              <w:spacing w:before="96"/>
              <w:ind w:left="699" w:right="671"/>
              <w:rPr>
                <w:sz w:val="21"/>
              </w:rPr>
            </w:pPr>
            <w:r>
              <w:rPr>
                <w:sz w:val="21"/>
              </w:rPr>
              <w:t>沙袋拦挡</w:t>
            </w:r>
          </w:p>
        </w:tc>
        <w:tc>
          <w:tcPr>
            <w:tcW w:w="1440" w:type="dxa"/>
            <w:tcBorders>
              <w:top w:val="single" w:color="000000" w:sz="4" w:space="0"/>
              <w:left w:val="single" w:color="000000" w:sz="4" w:space="0"/>
              <w:bottom w:val="single" w:color="000000" w:sz="4" w:space="0"/>
              <w:right w:val="single" w:color="000000" w:sz="4" w:space="0"/>
            </w:tcBorders>
          </w:tcPr>
          <w:p>
            <w:pPr>
              <w:pStyle w:val="11"/>
              <w:spacing w:before="99"/>
              <w:ind w:left="25"/>
              <w:rPr>
                <w:sz w:val="21"/>
              </w:rPr>
            </w:pPr>
            <w:r>
              <w:rPr>
                <w:w w:val="99"/>
                <w:sz w:val="21"/>
              </w:rPr>
              <w:t>m</w:t>
            </w:r>
          </w:p>
        </w:tc>
        <w:tc>
          <w:tcPr>
            <w:tcW w:w="2349" w:type="dxa"/>
            <w:tcBorders>
              <w:top w:val="single" w:color="000000" w:sz="4" w:space="0"/>
              <w:left w:val="single" w:color="000000" w:sz="4" w:space="0"/>
              <w:bottom w:val="single" w:color="000000" w:sz="4" w:space="0"/>
            </w:tcBorders>
          </w:tcPr>
          <w:p>
            <w:pPr>
              <w:pStyle w:val="11"/>
              <w:spacing w:before="99"/>
              <w:ind w:left="952" w:right="914"/>
              <w:rPr>
                <w:sz w:val="21"/>
              </w:rPr>
            </w:pPr>
            <w:r>
              <w:rPr>
                <w:sz w:val="21"/>
              </w:rPr>
              <w:t>3500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911" w:type="dxa"/>
            <w:tcBorders>
              <w:top w:val="single" w:color="000000" w:sz="4" w:space="0"/>
              <w:bottom w:val="single" w:color="000000" w:sz="4" w:space="0"/>
              <w:right w:val="single" w:color="000000" w:sz="4" w:space="0"/>
            </w:tcBorders>
          </w:tcPr>
          <w:p>
            <w:pPr>
              <w:pStyle w:val="11"/>
              <w:spacing w:before="98"/>
              <w:ind w:left="17"/>
              <w:rPr>
                <w:sz w:val="21"/>
              </w:rPr>
            </w:pPr>
            <w:r>
              <w:rPr>
                <w:w w:val="99"/>
                <w:sz w:val="21"/>
              </w:rPr>
              <w:t>2</w:t>
            </w:r>
          </w:p>
        </w:tc>
        <w:tc>
          <w:tcPr>
            <w:tcW w:w="3100" w:type="dxa"/>
            <w:tcBorders>
              <w:top w:val="single" w:color="000000" w:sz="4" w:space="0"/>
              <w:left w:val="single" w:color="000000" w:sz="4" w:space="0"/>
              <w:bottom w:val="single" w:color="000000" w:sz="4" w:space="0"/>
              <w:right w:val="single" w:color="000000" w:sz="4" w:space="0"/>
            </w:tcBorders>
          </w:tcPr>
          <w:p>
            <w:pPr>
              <w:pStyle w:val="11"/>
              <w:spacing w:before="96"/>
              <w:ind w:left="696" w:right="671"/>
              <w:rPr>
                <w:sz w:val="21"/>
              </w:rPr>
            </w:pPr>
            <w:r>
              <w:rPr>
                <w:sz w:val="21"/>
              </w:rPr>
              <w:t>集水井</w:t>
            </w:r>
          </w:p>
        </w:tc>
        <w:tc>
          <w:tcPr>
            <w:tcW w:w="1440" w:type="dxa"/>
            <w:tcBorders>
              <w:top w:val="single" w:color="000000" w:sz="4" w:space="0"/>
              <w:left w:val="single" w:color="000000" w:sz="4" w:space="0"/>
              <w:bottom w:val="single" w:color="000000" w:sz="4" w:space="0"/>
              <w:right w:val="single" w:color="000000" w:sz="4" w:space="0"/>
            </w:tcBorders>
          </w:tcPr>
          <w:p>
            <w:pPr>
              <w:pStyle w:val="11"/>
              <w:spacing w:before="98"/>
              <w:ind w:left="29"/>
              <w:rPr>
                <w:sz w:val="21"/>
              </w:rPr>
            </w:pPr>
            <w:r>
              <w:rPr>
                <w:w w:val="99"/>
                <w:sz w:val="21"/>
              </w:rPr>
              <w:t>座</w:t>
            </w:r>
          </w:p>
        </w:tc>
        <w:tc>
          <w:tcPr>
            <w:tcW w:w="2349" w:type="dxa"/>
            <w:tcBorders>
              <w:top w:val="single" w:color="000000" w:sz="4" w:space="0"/>
              <w:left w:val="single" w:color="000000" w:sz="4" w:space="0"/>
              <w:bottom w:val="single" w:color="000000" w:sz="4" w:space="0"/>
            </w:tcBorders>
          </w:tcPr>
          <w:p>
            <w:pPr>
              <w:pStyle w:val="11"/>
              <w:spacing w:before="98"/>
              <w:ind w:left="952" w:right="914"/>
              <w:rPr>
                <w:sz w:val="21"/>
              </w:rPr>
            </w:pPr>
            <w:r>
              <w:rPr>
                <w:sz w:val="21"/>
              </w:rPr>
              <w:t>60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911" w:type="dxa"/>
            <w:tcBorders>
              <w:top w:val="single" w:color="000000" w:sz="4" w:space="0"/>
              <w:bottom w:val="single" w:color="000000" w:sz="4" w:space="0"/>
              <w:right w:val="single" w:color="000000" w:sz="4" w:space="0"/>
            </w:tcBorders>
          </w:tcPr>
          <w:p>
            <w:pPr>
              <w:pStyle w:val="11"/>
              <w:spacing w:before="98"/>
              <w:ind w:left="17"/>
              <w:rPr>
                <w:sz w:val="21"/>
              </w:rPr>
            </w:pPr>
            <w:r>
              <w:rPr>
                <w:w w:val="99"/>
                <w:sz w:val="21"/>
              </w:rPr>
              <w:t>3</w:t>
            </w:r>
          </w:p>
        </w:tc>
        <w:tc>
          <w:tcPr>
            <w:tcW w:w="3100" w:type="dxa"/>
            <w:tcBorders>
              <w:top w:val="single" w:color="000000" w:sz="4" w:space="0"/>
              <w:left w:val="single" w:color="000000" w:sz="4" w:space="0"/>
              <w:bottom w:val="single" w:color="000000" w:sz="4" w:space="0"/>
              <w:right w:val="single" w:color="000000" w:sz="4" w:space="0"/>
            </w:tcBorders>
          </w:tcPr>
          <w:p>
            <w:pPr>
              <w:pStyle w:val="11"/>
              <w:spacing w:before="96"/>
              <w:ind w:left="699" w:right="671"/>
              <w:rPr>
                <w:sz w:val="21"/>
              </w:rPr>
            </w:pPr>
            <w:r>
              <w:rPr>
                <w:sz w:val="21"/>
              </w:rPr>
              <w:t>移动沉砂池</w:t>
            </w:r>
          </w:p>
        </w:tc>
        <w:tc>
          <w:tcPr>
            <w:tcW w:w="1440" w:type="dxa"/>
            <w:tcBorders>
              <w:top w:val="single" w:color="000000" w:sz="4" w:space="0"/>
              <w:left w:val="single" w:color="000000" w:sz="4" w:space="0"/>
              <w:bottom w:val="single" w:color="000000" w:sz="4" w:space="0"/>
              <w:right w:val="single" w:color="000000" w:sz="4" w:space="0"/>
            </w:tcBorders>
          </w:tcPr>
          <w:p>
            <w:pPr>
              <w:pStyle w:val="11"/>
              <w:spacing w:before="98"/>
              <w:ind w:left="29"/>
              <w:rPr>
                <w:sz w:val="21"/>
              </w:rPr>
            </w:pPr>
            <w:r>
              <w:rPr>
                <w:w w:val="99"/>
                <w:sz w:val="21"/>
              </w:rPr>
              <w:t>座</w:t>
            </w:r>
          </w:p>
        </w:tc>
        <w:tc>
          <w:tcPr>
            <w:tcW w:w="2349" w:type="dxa"/>
            <w:tcBorders>
              <w:top w:val="single" w:color="000000" w:sz="4" w:space="0"/>
              <w:left w:val="single" w:color="000000" w:sz="4" w:space="0"/>
              <w:bottom w:val="single" w:color="000000" w:sz="4" w:space="0"/>
            </w:tcBorders>
          </w:tcPr>
          <w:p>
            <w:pPr>
              <w:pStyle w:val="11"/>
              <w:spacing w:before="98"/>
              <w:ind w:left="952" w:right="914"/>
              <w:rPr>
                <w:sz w:val="21"/>
              </w:rPr>
            </w:pPr>
            <w:r>
              <w:rPr>
                <w:sz w:val="21"/>
              </w:rPr>
              <w:t>15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911" w:type="dxa"/>
            <w:tcBorders>
              <w:top w:val="single" w:color="000000" w:sz="4" w:space="0"/>
              <w:bottom w:val="single" w:color="000000" w:sz="4" w:space="0"/>
              <w:right w:val="single" w:color="000000" w:sz="4" w:space="0"/>
            </w:tcBorders>
          </w:tcPr>
          <w:p>
            <w:pPr>
              <w:pStyle w:val="11"/>
              <w:spacing w:before="100"/>
              <w:ind w:left="17"/>
              <w:rPr>
                <w:sz w:val="21"/>
              </w:rPr>
            </w:pPr>
            <w:r>
              <w:rPr>
                <w:w w:val="99"/>
                <w:sz w:val="21"/>
              </w:rPr>
              <w:t>4</w:t>
            </w:r>
          </w:p>
        </w:tc>
        <w:tc>
          <w:tcPr>
            <w:tcW w:w="3100" w:type="dxa"/>
            <w:tcBorders>
              <w:top w:val="single" w:color="000000" w:sz="4" w:space="0"/>
              <w:left w:val="single" w:color="000000" w:sz="4" w:space="0"/>
              <w:bottom w:val="single" w:color="000000" w:sz="4" w:space="0"/>
              <w:right w:val="single" w:color="000000" w:sz="4" w:space="0"/>
            </w:tcBorders>
          </w:tcPr>
          <w:p>
            <w:pPr>
              <w:pStyle w:val="11"/>
              <w:spacing w:before="95"/>
              <w:ind w:left="699" w:right="671"/>
              <w:rPr>
                <w:sz w:val="21"/>
              </w:rPr>
            </w:pPr>
            <w:r>
              <w:rPr>
                <w:sz w:val="21"/>
              </w:rPr>
              <w:t>抽排水设备</w:t>
            </w:r>
          </w:p>
        </w:tc>
        <w:tc>
          <w:tcPr>
            <w:tcW w:w="1440" w:type="dxa"/>
            <w:tcBorders>
              <w:top w:val="single" w:color="000000" w:sz="4" w:space="0"/>
              <w:left w:val="single" w:color="000000" w:sz="4" w:space="0"/>
              <w:bottom w:val="single" w:color="000000" w:sz="4" w:space="0"/>
              <w:right w:val="single" w:color="000000" w:sz="4" w:space="0"/>
            </w:tcBorders>
          </w:tcPr>
          <w:p>
            <w:pPr>
              <w:pStyle w:val="11"/>
              <w:spacing w:before="100"/>
              <w:ind w:left="29"/>
              <w:rPr>
                <w:sz w:val="21"/>
              </w:rPr>
            </w:pPr>
            <w:r>
              <w:rPr>
                <w:w w:val="99"/>
                <w:sz w:val="21"/>
              </w:rPr>
              <w:t>套</w:t>
            </w:r>
          </w:p>
        </w:tc>
        <w:tc>
          <w:tcPr>
            <w:tcW w:w="2349" w:type="dxa"/>
            <w:tcBorders>
              <w:top w:val="single" w:color="000000" w:sz="4" w:space="0"/>
              <w:left w:val="single" w:color="000000" w:sz="4" w:space="0"/>
              <w:bottom w:val="single" w:color="000000" w:sz="4" w:space="0"/>
            </w:tcBorders>
          </w:tcPr>
          <w:p>
            <w:pPr>
              <w:pStyle w:val="11"/>
              <w:spacing w:before="100"/>
              <w:ind w:left="38"/>
              <w:rPr>
                <w:sz w:val="21"/>
              </w:rPr>
            </w:pPr>
            <w:r>
              <w:rPr>
                <w:w w:val="99"/>
                <w:sz w:val="21"/>
              </w:rPr>
              <w:t>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8" w:hRule="atLeast"/>
        </w:trPr>
        <w:tc>
          <w:tcPr>
            <w:tcW w:w="911" w:type="dxa"/>
            <w:tcBorders>
              <w:top w:val="single" w:color="000000" w:sz="4" w:space="0"/>
              <w:bottom w:val="single" w:color="000000" w:sz="4" w:space="0"/>
              <w:right w:val="single" w:color="000000" w:sz="4" w:space="0"/>
            </w:tcBorders>
          </w:tcPr>
          <w:p>
            <w:pPr>
              <w:pStyle w:val="11"/>
              <w:spacing w:before="100"/>
              <w:ind w:left="17"/>
              <w:rPr>
                <w:sz w:val="21"/>
              </w:rPr>
            </w:pPr>
            <w:r>
              <w:rPr>
                <w:w w:val="99"/>
                <w:sz w:val="21"/>
              </w:rPr>
              <w:t>5</w:t>
            </w:r>
          </w:p>
        </w:tc>
        <w:tc>
          <w:tcPr>
            <w:tcW w:w="3100" w:type="dxa"/>
            <w:tcBorders>
              <w:top w:val="single" w:color="000000" w:sz="4" w:space="0"/>
              <w:left w:val="single" w:color="000000" w:sz="4" w:space="0"/>
              <w:bottom w:val="single" w:color="000000" w:sz="4" w:space="0"/>
              <w:right w:val="single" w:color="000000" w:sz="4" w:space="0"/>
            </w:tcBorders>
          </w:tcPr>
          <w:p>
            <w:pPr>
              <w:pStyle w:val="11"/>
              <w:spacing w:before="95"/>
              <w:ind w:left="699" w:right="671"/>
              <w:rPr>
                <w:sz w:val="21"/>
              </w:rPr>
            </w:pPr>
            <w:r>
              <w:rPr>
                <w:sz w:val="21"/>
              </w:rPr>
              <w:t>施工护栏</w:t>
            </w:r>
          </w:p>
        </w:tc>
        <w:tc>
          <w:tcPr>
            <w:tcW w:w="1440" w:type="dxa"/>
            <w:tcBorders>
              <w:top w:val="single" w:color="000000" w:sz="4" w:space="0"/>
              <w:left w:val="single" w:color="000000" w:sz="4" w:space="0"/>
              <w:bottom w:val="single" w:color="000000" w:sz="4" w:space="0"/>
              <w:right w:val="single" w:color="000000" w:sz="4" w:space="0"/>
            </w:tcBorders>
          </w:tcPr>
          <w:p>
            <w:pPr>
              <w:pStyle w:val="11"/>
              <w:spacing w:before="100"/>
              <w:ind w:left="25"/>
              <w:rPr>
                <w:sz w:val="21"/>
              </w:rPr>
            </w:pPr>
            <w:r>
              <w:rPr>
                <w:w w:val="99"/>
                <w:sz w:val="21"/>
              </w:rPr>
              <w:t>m</w:t>
            </w:r>
          </w:p>
        </w:tc>
        <w:tc>
          <w:tcPr>
            <w:tcW w:w="2349" w:type="dxa"/>
            <w:tcBorders>
              <w:top w:val="single" w:color="000000" w:sz="4" w:space="0"/>
              <w:left w:val="single" w:color="000000" w:sz="4" w:space="0"/>
              <w:bottom w:val="single" w:color="000000" w:sz="4" w:space="0"/>
            </w:tcBorders>
          </w:tcPr>
          <w:p>
            <w:pPr>
              <w:pStyle w:val="11"/>
              <w:spacing w:before="100"/>
              <w:ind w:left="952" w:right="914"/>
              <w:rPr>
                <w:sz w:val="21"/>
              </w:rPr>
            </w:pPr>
            <w:r>
              <w:rPr>
                <w:sz w:val="21"/>
              </w:rPr>
              <w:t>6500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911" w:type="dxa"/>
            <w:tcBorders>
              <w:top w:val="single" w:color="000000" w:sz="4" w:space="0"/>
              <w:bottom w:val="single" w:color="000000" w:sz="4" w:space="0"/>
              <w:right w:val="single" w:color="000000" w:sz="4" w:space="0"/>
            </w:tcBorders>
          </w:tcPr>
          <w:p>
            <w:pPr>
              <w:pStyle w:val="11"/>
              <w:spacing w:before="99"/>
              <w:ind w:left="17"/>
              <w:rPr>
                <w:sz w:val="21"/>
              </w:rPr>
            </w:pPr>
            <w:r>
              <w:rPr>
                <w:w w:val="99"/>
                <w:sz w:val="21"/>
              </w:rPr>
              <w:t>6</w:t>
            </w:r>
          </w:p>
        </w:tc>
        <w:tc>
          <w:tcPr>
            <w:tcW w:w="3100" w:type="dxa"/>
            <w:tcBorders>
              <w:top w:val="single" w:color="000000" w:sz="4" w:space="0"/>
              <w:left w:val="single" w:color="000000" w:sz="4" w:space="0"/>
              <w:bottom w:val="single" w:color="000000" w:sz="4" w:space="0"/>
              <w:right w:val="single" w:color="000000" w:sz="4" w:space="0"/>
            </w:tcBorders>
          </w:tcPr>
          <w:p>
            <w:pPr>
              <w:pStyle w:val="11"/>
              <w:spacing w:before="97"/>
              <w:ind w:left="696" w:right="671"/>
              <w:rPr>
                <w:sz w:val="21"/>
              </w:rPr>
            </w:pPr>
            <w:r>
              <w:rPr>
                <w:sz w:val="21"/>
              </w:rPr>
              <w:t>彩条布</w:t>
            </w:r>
          </w:p>
        </w:tc>
        <w:tc>
          <w:tcPr>
            <w:tcW w:w="1440" w:type="dxa"/>
            <w:tcBorders>
              <w:top w:val="single" w:color="000000" w:sz="4" w:space="0"/>
              <w:left w:val="single" w:color="000000" w:sz="4" w:space="0"/>
              <w:bottom w:val="single" w:color="000000" w:sz="4" w:space="0"/>
              <w:right w:val="single" w:color="000000" w:sz="4" w:space="0"/>
            </w:tcBorders>
          </w:tcPr>
          <w:p>
            <w:pPr>
              <w:pStyle w:val="11"/>
              <w:spacing w:before="104"/>
              <w:ind w:left="498" w:right="470"/>
              <w:rPr>
                <w:sz w:val="10"/>
              </w:rPr>
            </w:pPr>
            <w:r>
              <w:rPr>
                <w:spacing w:val="-2"/>
                <w:w w:val="99"/>
                <w:position w:val="-10"/>
                <w:sz w:val="21"/>
              </w:rPr>
              <w:t>m</w:t>
            </w:r>
            <w:r>
              <w:rPr>
                <w:w w:val="106"/>
                <w:sz w:val="10"/>
              </w:rPr>
              <w:t>2</w:t>
            </w:r>
          </w:p>
        </w:tc>
        <w:tc>
          <w:tcPr>
            <w:tcW w:w="2349" w:type="dxa"/>
            <w:tcBorders>
              <w:top w:val="single" w:color="000000" w:sz="4" w:space="0"/>
              <w:left w:val="single" w:color="000000" w:sz="4" w:space="0"/>
              <w:bottom w:val="single" w:color="000000" w:sz="4" w:space="0"/>
            </w:tcBorders>
          </w:tcPr>
          <w:p>
            <w:pPr>
              <w:pStyle w:val="11"/>
              <w:spacing w:before="99"/>
              <w:ind w:left="952" w:right="914"/>
              <w:rPr>
                <w:sz w:val="21"/>
              </w:rPr>
            </w:pPr>
            <w:r>
              <w:rPr>
                <w:sz w:val="21"/>
              </w:rPr>
              <w:t>9000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911" w:type="dxa"/>
            <w:tcBorders>
              <w:top w:val="single" w:color="000000" w:sz="4" w:space="0"/>
              <w:bottom w:val="single" w:color="000000" w:sz="4" w:space="0"/>
              <w:right w:val="single" w:color="000000" w:sz="4" w:space="0"/>
            </w:tcBorders>
          </w:tcPr>
          <w:p>
            <w:pPr>
              <w:pStyle w:val="11"/>
              <w:spacing w:before="99"/>
              <w:ind w:left="17"/>
              <w:rPr>
                <w:sz w:val="21"/>
              </w:rPr>
            </w:pPr>
            <w:r>
              <w:rPr>
                <w:w w:val="99"/>
                <w:sz w:val="21"/>
              </w:rPr>
              <w:t>7</w:t>
            </w:r>
          </w:p>
        </w:tc>
        <w:tc>
          <w:tcPr>
            <w:tcW w:w="3100" w:type="dxa"/>
            <w:tcBorders>
              <w:top w:val="single" w:color="000000" w:sz="4" w:space="0"/>
              <w:left w:val="single" w:color="000000" w:sz="4" w:space="0"/>
              <w:bottom w:val="single" w:color="000000" w:sz="4" w:space="0"/>
              <w:right w:val="single" w:color="000000" w:sz="4" w:space="0"/>
            </w:tcBorders>
          </w:tcPr>
          <w:p>
            <w:pPr>
              <w:pStyle w:val="11"/>
              <w:spacing w:before="96"/>
              <w:ind w:left="699" w:right="671"/>
              <w:rPr>
                <w:sz w:val="21"/>
              </w:rPr>
            </w:pPr>
            <w:r>
              <w:rPr>
                <w:sz w:val="21"/>
              </w:rPr>
              <w:t>高压水枪冲洗设施</w:t>
            </w:r>
          </w:p>
        </w:tc>
        <w:tc>
          <w:tcPr>
            <w:tcW w:w="1440" w:type="dxa"/>
            <w:tcBorders>
              <w:top w:val="single" w:color="000000" w:sz="4" w:space="0"/>
              <w:left w:val="single" w:color="000000" w:sz="4" w:space="0"/>
              <w:bottom w:val="single" w:color="000000" w:sz="4" w:space="0"/>
              <w:right w:val="single" w:color="000000" w:sz="4" w:space="0"/>
            </w:tcBorders>
          </w:tcPr>
          <w:p>
            <w:pPr>
              <w:pStyle w:val="11"/>
              <w:spacing w:before="99"/>
              <w:ind w:left="29"/>
              <w:rPr>
                <w:sz w:val="21"/>
              </w:rPr>
            </w:pPr>
            <w:r>
              <w:rPr>
                <w:w w:val="99"/>
                <w:sz w:val="21"/>
              </w:rPr>
              <w:t>套</w:t>
            </w:r>
          </w:p>
        </w:tc>
        <w:tc>
          <w:tcPr>
            <w:tcW w:w="2349" w:type="dxa"/>
            <w:tcBorders>
              <w:top w:val="single" w:color="000000" w:sz="4" w:space="0"/>
              <w:left w:val="single" w:color="000000" w:sz="4" w:space="0"/>
              <w:bottom w:val="single" w:color="000000" w:sz="4" w:space="0"/>
            </w:tcBorders>
          </w:tcPr>
          <w:p>
            <w:pPr>
              <w:pStyle w:val="11"/>
              <w:spacing w:before="99"/>
              <w:ind w:left="38"/>
              <w:rPr>
                <w:sz w:val="21"/>
              </w:rPr>
            </w:pPr>
            <w:r>
              <w:rPr>
                <w:w w:val="99"/>
                <w:sz w:val="21"/>
              </w:rPr>
              <w:t>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911" w:type="dxa"/>
            <w:tcBorders>
              <w:top w:val="single" w:color="000000" w:sz="4" w:space="0"/>
              <w:right w:val="single" w:color="000000" w:sz="4" w:space="0"/>
            </w:tcBorders>
          </w:tcPr>
          <w:p>
            <w:pPr>
              <w:pStyle w:val="11"/>
              <w:spacing w:before="98"/>
              <w:ind w:left="17"/>
              <w:rPr>
                <w:sz w:val="21"/>
              </w:rPr>
            </w:pPr>
            <w:r>
              <w:rPr>
                <w:w w:val="99"/>
                <w:sz w:val="21"/>
              </w:rPr>
              <w:t>8</w:t>
            </w:r>
          </w:p>
        </w:tc>
        <w:tc>
          <w:tcPr>
            <w:tcW w:w="3100" w:type="dxa"/>
            <w:tcBorders>
              <w:top w:val="single" w:color="000000" w:sz="4" w:space="0"/>
              <w:left w:val="single" w:color="000000" w:sz="4" w:space="0"/>
              <w:right w:val="single" w:color="000000" w:sz="4" w:space="0"/>
            </w:tcBorders>
          </w:tcPr>
          <w:p>
            <w:pPr>
              <w:pStyle w:val="11"/>
              <w:spacing w:before="96"/>
              <w:ind w:left="699" w:right="671"/>
              <w:rPr>
                <w:sz w:val="21"/>
              </w:rPr>
            </w:pPr>
            <w:r>
              <w:rPr>
                <w:sz w:val="21"/>
              </w:rPr>
              <w:t>绿化带恢复</w:t>
            </w:r>
          </w:p>
        </w:tc>
        <w:tc>
          <w:tcPr>
            <w:tcW w:w="1440" w:type="dxa"/>
            <w:tcBorders>
              <w:top w:val="single" w:color="000000" w:sz="4" w:space="0"/>
              <w:left w:val="single" w:color="000000" w:sz="4" w:space="0"/>
              <w:right w:val="single" w:color="000000" w:sz="4" w:space="0"/>
            </w:tcBorders>
          </w:tcPr>
          <w:p>
            <w:pPr>
              <w:pStyle w:val="11"/>
              <w:spacing w:before="103"/>
              <w:ind w:left="498" w:right="470"/>
              <w:rPr>
                <w:sz w:val="10"/>
              </w:rPr>
            </w:pPr>
            <w:r>
              <w:rPr>
                <w:spacing w:val="-2"/>
                <w:w w:val="99"/>
                <w:position w:val="-10"/>
                <w:sz w:val="21"/>
              </w:rPr>
              <w:t>m</w:t>
            </w:r>
            <w:r>
              <w:rPr>
                <w:w w:val="106"/>
                <w:sz w:val="10"/>
              </w:rPr>
              <w:t>2</w:t>
            </w:r>
          </w:p>
        </w:tc>
        <w:tc>
          <w:tcPr>
            <w:tcW w:w="2349" w:type="dxa"/>
            <w:tcBorders>
              <w:top w:val="single" w:color="000000" w:sz="4" w:space="0"/>
              <w:left w:val="single" w:color="000000" w:sz="4" w:space="0"/>
            </w:tcBorders>
          </w:tcPr>
          <w:p>
            <w:pPr>
              <w:pStyle w:val="11"/>
              <w:spacing w:before="98"/>
              <w:ind w:left="952" w:right="914"/>
              <w:rPr>
                <w:sz w:val="21"/>
              </w:rPr>
            </w:pPr>
            <w:r>
              <w:rPr>
                <w:sz w:val="21"/>
              </w:rPr>
              <w:t>370</w:t>
            </w:r>
          </w:p>
        </w:tc>
      </w:tr>
    </w:tbl>
    <w:p>
      <w:pPr>
        <w:spacing w:after="0"/>
        <w:rPr>
          <w:sz w:val="21"/>
        </w:rPr>
        <w:sectPr>
          <w:pgSz w:w="11910" w:h="16840"/>
          <w:pgMar w:top="1300" w:right="1160" w:bottom="1200" w:left="1420" w:header="878" w:footer="1005" w:gutter="0"/>
          <w:cols w:space="720" w:num="1"/>
        </w:sectPr>
      </w:pPr>
    </w:p>
    <w:p>
      <w:pPr>
        <w:pStyle w:val="4"/>
        <w:spacing w:before="7"/>
        <w:rPr>
          <w:rFonts w:ascii="宋体"/>
          <w:b/>
          <w:sz w:val="8"/>
        </w:rPr>
      </w:pPr>
    </w:p>
    <w:p>
      <w:pPr>
        <w:pStyle w:val="2"/>
      </w:pPr>
      <w:bookmarkStart w:id="8" w:name="_TOC_250032"/>
      <w:bookmarkEnd w:id="8"/>
      <w:r>
        <w:t>四、水土保持设施建设情况</w:t>
      </w:r>
    </w:p>
    <w:p>
      <w:pPr>
        <w:pStyle w:val="4"/>
        <w:spacing w:before="12"/>
        <w:rPr>
          <w:rFonts w:ascii="黑体"/>
          <w:b/>
          <w:sz w:val="31"/>
        </w:rPr>
      </w:pPr>
    </w:p>
    <w:p>
      <w:pPr>
        <w:pStyle w:val="3"/>
        <w:spacing w:line="240" w:lineRule="auto"/>
      </w:pPr>
      <w:bookmarkStart w:id="9" w:name="_TOC_250031"/>
      <w:bookmarkEnd w:id="9"/>
      <w:r>
        <w:t>1、水土流失防治范围</w:t>
      </w:r>
    </w:p>
    <w:p>
      <w:pPr>
        <w:pStyle w:val="4"/>
        <w:spacing w:before="9"/>
        <w:rPr>
          <w:b/>
          <w:sz w:val="20"/>
        </w:rPr>
      </w:pPr>
    </w:p>
    <w:p>
      <w:pPr>
        <w:pStyle w:val="10"/>
        <w:numPr>
          <w:ilvl w:val="0"/>
          <w:numId w:val="5"/>
        </w:numPr>
        <w:tabs>
          <w:tab w:val="left" w:pos="1382"/>
        </w:tabs>
        <w:spacing w:before="0" w:after="0" w:line="240" w:lineRule="auto"/>
        <w:ind w:left="1382" w:right="0" w:hanging="702"/>
        <w:jc w:val="left"/>
        <w:rPr>
          <w:sz w:val="28"/>
        </w:rPr>
      </w:pPr>
      <w:r>
        <w:rPr>
          <w:spacing w:val="-3"/>
          <w:sz w:val="28"/>
        </w:rPr>
        <w:t>批复的水土流失防治责任范围</w:t>
      </w:r>
    </w:p>
    <w:p>
      <w:pPr>
        <w:pStyle w:val="4"/>
        <w:spacing w:before="9"/>
        <w:rPr>
          <w:sz w:val="20"/>
        </w:rPr>
      </w:pPr>
    </w:p>
    <w:p>
      <w:pPr>
        <w:pStyle w:val="4"/>
        <w:spacing w:line="417" w:lineRule="auto"/>
        <w:ind w:left="111" w:right="243" w:firstLine="568"/>
        <w:jc w:val="both"/>
      </w:pPr>
      <w:r>
        <w:rPr>
          <w:spacing w:val="-5"/>
        </w:rPr>
        <w:t>根据深龙环水保复【</w:t>
      </w:r>
      <w:r>
        <w:t>2015</w:t>
      </w:r>
      <w:r>
        <w:rPr>
          <w:spacing w:val="-25"/>
        </w:rPr>
        <w:t>】</w:t>
      </w:r>
      <w:r>
        <w:t>25</w:t>
      </w:r>
      <w:r>
        <w:rPr>
          <w:spacing w:val="-11"/>
        </w:rPr>
        <w:t xml:space="preserve"> 号文件的批复，水土保持方案确定的水</w:t>
      </w:r>
      <w:r>
        <w:rPr>
          <w:spacing w:val="19"/>
        </w:rPr>
        <w:t xml:space="preserve">土流失防治责任范围面积为 </w:t>
      </w:r>
      <w:r>
        <w:t>111997.82m</w:t>
      </w:r>
      <w:r>
        <w:rPr>
          <w:position w:val="14"/>
          <w:sz w:val="14"/>
        </w:rPr>
        <w:t xml:space="preserve">2 </w:t>
      </w:r>
      <w:r>
        <w:rPr>
          <w:spacing w:val="11"/>
        </w:rPr>
        <w:t>， 其中项目建设区占地面积73684.82m</w:t>
      </w:r>
      <w:r>
        <w:rPr>
          <w:spacing w:val="11"/>
          <w:position w:val="14"/>
          <w:sz w:val="14"/>
        </w:rPr>
        <w:t>2</w:t>
      </w:r>
      <w:r>
        <w:rPr>
          <w:spacing w:val="-8"/>
        </w:rPr>
        <w:t xml:space="preserve">，直接影响区面积为 </w:t>
      </w:r>
      <w:r>
        <w:t>38358m</w:t>
      </w:r>
      <w:r>
        <w:rPr>
          <w:position w:val="14"/>
          <w:sz w:val="14"/>
        </w:rPr>
        <w:t>2</w:t>
      </w:r>
      <w:r>
        <w:t>。</w:t>
      </w:r>
    </w:p>
    <w:p>
      <w:pPr>
        <w:pStyle w:val="10"/>
        <w:numPr>
          <w:ilvl w:val="0"/>
          <w:numId w:val="5"/>
        </w:numPr>
        <w:tabs>
          <w:tab w:val="left" w:pos="1382"/>
        </w:tabs>
        <w:spacing w:before="0" w:after="0" w:line="358" w:lineRule="exact"/>
        <w:ind w:left="1382" w:right="0" w:hanging="702"/>
        <w:jc w:val="left"/>
        <w:rPr>
          <w:sz w:val="28"/>
        </w:rPr>
      </w:pPr>
      <w:r>
        <w:rPr>
          <w:spacing w:val="-3"/>
          <w:sz w:val="28"/>
        </w:rPr>
        <w:t>施工期实际发生的防治责任范围</w:t>
      </w:r>
    </w:p>
    <w:p>
      <w:pPr>
        <w:pStyle w:val="4"/>
        <w:spacing w:before="9"/>
        <w:rPr>
          <w:sz w:val="20"/>
        </w:rPr>
      </w:pPr>
    </w:p>
    <w:p>
      <w:pPr>
        <w:pStyle w:val="4"/>
        <w:spacing w:line="417" w:lineRule="auto"/>
        <w:ind w:left="111" w:right="243" w:firstLine="559"/>
      </w:pPr>
      <w:r>
        <w:t>根据本项目施工期实际情况，工程建设过程中实际发生的防治责任范围面积为 73684.82m</w:t>
      </w:r>
      <w:r>
        <w:rPr>
          <w:position w:val="14"/>
          <w:sz w:val="14"/>
        </w:rPr>
        <w:t>2</w:t>
      </w:r>
      <w:r>
        <w:t>，均为项目建设区占地范围。</w:t>
      </w:r>
    </w:p>
    <w:p>
      <w:pPr>
        <w:pStyle w:val="10"/>
        <w:numPr>
          <w:ilvl w:val="0"/>
          <w:numId w:val="5"/>
        </w:numPr>
        <w:tabs>
          <w:tab w:val="left" w:pos="1373"/>
        </w:tabs>
        <w:spacing w:before="0" w:after="0" w:line="358" w:lineRule="exact"/>
        <w:ind w:left="1372" w:right="0" w:hanging="703"/>
        <w:jc w:val="left"/>
        <w:rPr>
          <w:sz w:val="28"/>
        </w:rPr>
      </w:pPr>
      <w:r>
        <w:rPr>
          <w:spacing w:val="-3"/>
          <w:sz w:val="28"/>
        </w:rPr>
        <w:t>防治责任范围变化分析</w:t>
      </w:r>
    </w:p>
    <w:p>
      <w:pPr>
        <w:pStyle w:val="4"/>
        <w:spacing w:before="9"/>
        <w:rPr>
          <w:sz w:val="20"/>
        </w:rPr>
      </w:pPr>
    </w:p>
    <w:p>
      <w:pPr>
        <w:pStyle w:val="4"/>
        <w:spacing w:line="417" w:lineRule="auto"/>
        <w:ind w:left="111" w:right="241" w:firstLine="568"/>
        <w:jc w:val="both"/>
      </w:pPr>
      <w:r>
        <w:rPr>
          <w:spacing w:val="6"/>
        </w:rPr>
        <w:t>本项目各防治分区的水土流失防治责任面积相对方案预期值明显减</w:t>
      </w:r>
      <w:r>
        <w:rPr>
          <w:spacing w:val="-11"/>
          <w:w w:val="100"/>
        </w:rPr>
        <w:t>少，水土保持方案原定范围为</w:t>
      </w:r>
      <w:r>
        <w:rPr>
          <w:spacing w:val="-73"/>
        </w:rPr>
        <w:t xml:space="preserve"> </w:t>
      </w:r>
      <w:r>
        <w:rPr>
          <w:spacing w:val="1"/>
          <w:w w:val="100"/>
        </w:rPr>
        <w:t>1</w:t>
      </w:r>
      <w:r>
        <w:rPr>
          <w:spacing w:val="-2"/>
          <w:w w:val="100"/>
        </w:rPr>
        <w:t>11</w:t>
      </w:r>
      <w:r>
        <w:rPr>
          <w:spacing w:val="1"/>
          <w:w w:val="100"/>
        </w:rPr>
        <w:t>9</w:t>
      </w:r>
      <w:r>
        <w:rPr>
          <w:spacing w:val="-2"/>
          <w:w w:val="100"/>
        </w:rPr>
        <w:t>97</w:t>
      </w:r>
      <w:r>
        <w:rPr>
          <w:spacing w:val="1"/>
          <w:w w:val="100"/>
        </w:rPr>
        <w:t>.</w:t>
      </w:r>
      <w:r>
        <w:rPr>
          <w:spacing w:val="-2"/>
          <w:w w:val="100"/>
        </w:rPr>
        <w:t>82</w:t>
      </w:r>
      <w:r>
        <w:rPr>
          <w:spacing w:val="1"/>
          <w:w w:val="100"/>
        </w:rPr>
        <w:t>m</w:t>
      </w:r>
      <w:r>
        <w:rPr>
          <w:w w:val="99"/>
          <w:position w:val="14"/>
          <w:sz w:val="14"/>
        </w:rPr>
        <w:t>2</w:t>
      </w:r>
      <w:r>
        <w:rPr>
          <w:spacing w:val="-10"/>
          <w:w w:val="100"/>
        </w:rPr>
        <w:t>，实际水土流失防治责任范围较</w:t>
      </w:r>
      <w:r>
        <w:rPr>
          <w:spacing w:val="-7"/>
        </w:rPr>
        <w:t xml:space="preserve">水土保持方案中确定的水土流失防治责任范围减少 </w:t>
      </w:r>
      <w:r>
        <w:t>38358m</w:t>
      </w:r>
      <w:r>
        <w:rPr>
          <w:position w:val="14"/>
          <w:sz w:val="14"/>
        </w:rPr>
        <w:t>2</w:t>
      </w:r>
      <w:r>
        <w:t>。</w:t>
      </w:r>
    </w:p>
    <w:p>
      <w:pPr>
        <w:pStyle w:val="4"/>
        <w:spacing w:line="358" w:lineRule="exact"/>
        <w:ind w:left="680"/>
        <w:jc w:val="both"/>
      </w:pPr>
      <w:r>
        <w:t>具体详见下表 4-1。</w:t>
      </w:r>
    </w:p>
    <w:p>
      <w:pPr>
        <w:pStyle w:val="4"/>
        <w:spacing w:before="8"/>
      </w:pPr>
    </w:p>
    <w:p>
      <w:pPr>
        <w:tabs>
          <w:tab w:val="left" w:pos="1144"/>
          <w:tab w:val="left" w:pos="5121"/>
        </w:tabs>
        <w:spacing w:before="1"/>
        <w:ind w:left="0" w:right="108" w:firstLine="0"/>
        <w:jc w:val="center"/>
        <w:rPr>
          <w:rFonts w:hint="eastAsia" w:ascii="宋体" w:eastAsia="宋体"/>
          <w:b/>
          <w:sz w:val="10"/>
        </w:rPr>
      </w:pPr>
      <w:r>
        <w:rPr>
          <w:rFonts w:hint="eastAsia" w:ascii="宋体" w:eastAsia="宋体"/>
          <w:b/>
          <w:w w:val="99"/>
          <w:sz w:val="24"/>
        </w:rPr>
        <w:t>表</w:t>
      </w:r>
      <w:r>
        <w:rPr>
          <w:rFonts w:hint="eastAsia" w:ascii="宋体" w:eastAsia="宋体"/>
          <w:b/>
          <w:spacing w:val="-61"/>
          <w:sz w:val="24"/>
        </w:rPr>
        <w:t xml:space="preserve"> </w:t>
      </w:r>
      <w:r>
        <w:rPr>
          <w:rFonts w:hint="eastAsia" w:ascii="宋体" w:eastAsia="宋体"/>
          <w:b/>
          <w:w w:val="99"/>
          <w:sz w:val="24"/>
        </w:rPr>
        <w:t>4</w:t>
      </w:r>
      <w:r>
        <w:rPr>
          <w:rFonts w:hint="eastAsia" w:ascii="宋体" w:eastAsia="宋体"/>
          <w:b/>
          <w:spacing w:val="2"/>
          <w:w w:val="99"/>
          <w:sz w:val="24"/>
        </w:rPr>
        <w:t>-</w:t>
      </w:r>
      <w:r>
        <w:rPr>
          <w:rFonts w:hint="eastAsia" w:ascii="宋体" w:eastAsia="宋体"/>
          <w:b/>
          <w:w w:val="99"/>
          <w:sz w:val="24"/>
        </w:rPr>
        <w:t>1</w:t>
      </w:r>
      <w:r>
        <w:rPr>
          <w:rFonts w:hint="eastAsia" w:ascii="宋体" w:eastAsia="宋体"/>
          <w:b/>
          <w:sz w:val="24"/>
        </w:rPr>
        <w:tab/>
      </w:r>
      <w:r>
        <w:rPr>
          <w:rFonts w:hint="eastAsia" w:ascii="宋体" w:eastAsia="宋体"/>
          <w:b/>
          <w:w w:val="99"/>
          <w:sz w:val="24"/>
        </w:rPr>
        <w:t>水</w:t>
      </w:r>
      <w:r>
        <w:rPr>
          <w:rFonts w:hint="eastAsia" w:ascii="宋体" w:eastAsia="宋体"/>
          <w:b/>
          <w:spacing w:val="2"/>
          <w:w w:val="99"/>
          <w:sz w:val="24"/>
        </w:rPr>
        <w:t>土</w:t>
      </w:r>
      <w:r>
        <w:rPr>
          <w:rFonts w:hint="eastAsia" w:ascii="宋体" w:eastAsia="宋体"/>
          <w:b/>
          <w:w w:val="99"/>
          <w:sz w:val="24"/>
        </w:rPr>
        <w:t>流</w:t>
      </w:r>
      <w:r>
        <w:rPr>
          <w:rFonts w:hint="eastAsia" w:ascii="宋体" w:eastAsia="宋体"/>
          <w:b/>
          <w:spacing w:val="2"/>
          <w:w w:val="99"/>
          <w:sz w:val="24"/>
        </w:rPr>
        <w:t>失</w:t>
      </w:r>
      <w:r>
        <w:rPr>
          <w:rFonts w:hint="eastAsia" w:ascii="宋体" w:eastAsia="宋体"/>
          <w:b/>
          <w:w w:val="99"/>
          <w:sz w:val="24"/>
        </w:rPr>
        <w:t>防治</w:t>
      </w:r>
      <w:r>
        <w:rPr>
          <w:rFonts w:hint="eastAsia" w:ascii="宋体" w:eastAsia="宋体"/>
          <w:b/>
          <w:spacing w:val="2"/>
          <w:w w:val="99"/>
          <w:sz w:val="24"/>
        </w:rPr>
        <w:t>责</w:t>
      </w:r>
      <w:r>
        <w:rPr>
          <w:rFonts w:hint="eastAsia" w:ascii="宋体" w:eastAsia="宋体"/>
          <w:b/>
          <w:w w:val="99"/>
          <w:sz w:val="24"/>
        </w:rPr>
        <w:t>任</w:t>
      </w:r>
      <w:r>
        <w:rPr>
          <w:rFonts w:hint="eastAsia" w:ascii="宋体" w:eastAsia="宋体"/>
          <w:b/>
          <w:spacing w:val="2"/>
          <w:w w:val="99"/>
          <w:sz w:val="24"/>
        </w:rPr>
        <w:t>范</w:t>
      </w:r>
      <w:r>
        <w:rPr>
          <w:rFonts w:hint="eastAsia" w:ascii="宋体" w:eastAsia="宋体"/>
          <w:b/>
          <w:w w:val="99"/>
          <w:sz w:val="24"/>
        </w:rPr>
        <w:t>围对</w:t>
      </w:r>
      <w:r>
        <w:rPr>
          <w:rFonts w:hint="eastAsia" w:ascii="宋体" w:eastAsia="宋体"/>
          <w:b/>
          <w:spacing w:val="2"/>
          <w:w w:val="99"/>
          <w:sz w:val="24"/>
        </w:rPr>
        <w:t>比</w:t>
      </w:r>
      <w:r>
        <w:rPr>
          <w:rFonts w:hint="eastAsia" w:ascii="宋体" w:eastAsia="宋体"/>
          <w:b/>
          <w:w w:val="99"/>
          <w:sz w:val="24"/>
        </w:rPr>
        <w:t>表</w:t>
      </w:r>
      <w:r>
        <w:rPr>
          <w:rFonts w:hint="eastAsia" w:ascii="宋体" w:eastAsia="宋体"/>
          <w:b/>
          <w:sz w:val="24"/>
        </w:rPr>
        <w:tab/>
      </w:r>
      <w:r>
        <w:rPr>
          <w:rFonts w:hint="eastAsia" w:ascii="宋体" w:eastAsia="宋体"/>
          <w:b/>
          <w:spacing w:val="2"/>
          <w:w w:val="99"/>
          <w:sz w:val="21"/>
        </w:rPr>
        <w:t>单位</w:t>
      </w:r>
      <w:r>
        <w:rPr>
          <w:rFonts w:hint="eastAsia" w:ascii="宋体" w:eastAsia="宋体"/>
          <w:b/>
          <w:spacing w:val="-1"/>
          <w:w w:val="99"/>
          <w:sz w:val="21"/>
        </w:rPr>
        <w:t>：</w:t>
      </w:r>
      <w:r>
        <w:rPr>
          <w:rFonts w:hint="eastAsia" w:ascii="宋体" w:eastAsia="宋体"/>
          <w:b/>
          <w:spacing w:val="1"/>
          <w:w w:val="98"/>
          <w:sz w:val="21"/>
        </w:rPr>
        <w:t>m</w:t>
      </w:r>
      <w:r>
        <w:rPr>
          <w:rFonts w:hint="eastAsia" w:ascii="宋体" w:eastAsia="宋体"/>
          <w:b/>
          <w:w w:val="105"/>
          <w:position w:val="11"/>
          <w:sz w:val="10"/>
        </w:rPr>
        <w:t>2</w:t>
      </w:r>
    </w:p>
    <w:p>
      <w:pPr>
        <w:pStyle w:val="4"/>
        <w:spacing w:before="3"/>
        <w:rPr>
          <w:rFonts w:ascii="宋体"/>
          <w:b/>
          <w:sz w:val="6"/>
        </w:rPr>
      </w:pPr>
    </w:p>
    <w:tbl>
      <w:tblPr>
        <w:tblStyle w:val="7"/>
        <w:tblW w:w="0" w:type="auto"/>
        <w:tblInd w:w="28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755"/>
        <w:gridCol w:w="1440"/>
        <w:gridCol w:w="1884"/>
        <w:gridCol w:w="2294"/>
        <w:gridCol w:w="1288"/>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545" w:hRule="atLeast"/>
        </w:trPr>
        <w:tc>
          <w:tcPr>
            <w:tcW w:w="1755" w:type="dxa"/>
            <w:tcBorders>
              <w:bottom w:val="single" w:color="000000" w:sz="6" w:space="0"/>
              <w:right w:val="single" w:color="000000" w:sz="6" w:space="0"/>
            </w:tcBorders>
          </w:tcPr>
          <w:p>
            <w:pPr>
              <w:pStyle w:val="11"/>
              <w:spacing w:before="135"/>
              <w:ind w:left="224" w:right="202"/>
              <w:rPr>
                <w:b/>
                <w:sz w:val="21"/>
              </w:rPr>
            </w:pPr>
            <w:r>
              <w:rPr>
                <w:b/>
                <w:sz w:val="21"/>
              </w:rPr>
              <w:t>防治责任范围</w:t>
            </w:r>
          </w:p>
        </w:tc>
        <w:tc>
          <w:tcPr>
            <w:tcW w:w="1440" w:type="dxa"/>
            <w:tcBorders>
              <w:left w:val="single" w:color="000000" w:sz="6" w:space="0"/>
              <w:bottom w:val="single" w:color="000000" w:sz="6" w:space="0"/>
              <w:right w:val="single" w:color="000000" w:sz="6" w:space="0"/>
            </w:tcBorders>
          </w:tcPr>
          <w:p>
            <w:pPr>
              <w:pStyle w:val="11"/>
              <w:spacing w:before="135"/>
              <w:ind w:left="284" w:right="255"/>
              <w:rPr>
                <w:b/>
                <w:sz w:val="21"/>
              </w:rPr>
            </w:pPr>
            <w:r>
              <w:rPr>
                <w:b/>
                <w:sz w:val="21"/>
              </w:rPr>
              <w:t>占地性质</w:t>
            </w:r>
          </w:p>
        </w:tc>
        <w:tc>
          <w:tcPr>
            <w:tcW w:w="1884" w:type="dxa"/>
            <w:tcBorders>
              <w:left w:val="single" w:color="000000" w:sz="6" w:space="0"/>
              <w:bottom w:val="single" w:color="000000" w:sz="6" w:space="0"/>
              <w:right w:val="single" w:color="000000" w:sz="6" w:space="0"/>
            </w:tcBorders>
          </w:tcPr>
          <w:p>
            <w:pPr>
              <w:pStyle w:val="11"/>
              <w:spacing w:before="1"/>
              <w:ind w:left="214"/>
              <w:jc w:val="left"/>
              <w:rPr>
                <w:b/>
                <w:sz w:val="21"/>
              </w:rPr>
            </w:pPr>
            <w:r>
              <w:rPr>
                <w:b/>
                <w:sz w:val="21"/>
              </w:rPr>
              <w:t>批复的水土流失</w:t>
            </w:r>
          </w:p>
          <w:p>
            <w:pPr>
              <w:pStyle w:val="11"/>
              <w:spacing w:before="2" w:line="253" w:lineRule="exact"/>
              <w:ind w:left="318"/>
              <w:jc w:val="left"/>
              <w:rPr>
                <w:b/>
                <w:sz w:val="21"/>
              </w:rPr>
            </w:pPr>
            <w:r>
              <w:rPr>
                <w:b/>
                <w:sz w:val="21"/>
              </w:rPr>
              <w:t>防治责任面积</w:t>
            </w:r>
          </w:p>
        </w:tc>
        <w:tc>
          <w:tcPr>
            <w:tcW w:w="2294" w:type="dxa"/>
            <w:tcBorders>
              <w:left w:val="single" w:color="000000" w:sz="6" w:space="0"/>
              <w:bottom w:val="single" w:color="000000" w:sz="6" w:space="0"/>
              <w:right w:val="single" w:color="000000" w:sz="6" w:space="0"/>
            </w:tcBorders>
          </w:tcPr>
          <w:p>
            <w:pPr>
              <w:pStyle w:val="11"/>
              <w:spacing w:before="1"/>
              <w:ind w:left="292" w:right="260"/>
              <w:rPr>
                <w:b/>
                <w:sz w:val="21"/>
              </w:rPr>
            </w:pPr>
            <w:r>
              <w:rPr>
                <w:b/>
                <w:sz w:val="21"/>
              </w:rPr>
              <w:t>实际发生的水土</w:t>
            </w:r>
          </w:p>
          <w:p>
            <w:pPr>
              <w:pStyle w:val="11"/>
              <w:spacing w:before="2" w:line="253" w:lineRule="exact"/>
              <w:ind w:left="292" w:right="260"/>
              <w:rPr>
                <w:b/>
                <w:sz w:val="21"/>
              </w:rPr>
            </w:pPr>
            <w:r>
              <w:rPr>
                <w:b/>
                <w:sz w:val="21"/>
              </w:rPr>
              <w:t>流失防治责任面积</w:t>
            </w:r>
          </w:p>
        </w:tc>
        <w:tc>
          <w:tcPr>
            <w:tcW w:w="1288" w:type="dxa"/>
            <w:tcBorders>
              <w:left w:val="single" w:color="000000" w:sz="6" w:space="0"/>
              <w:bottom w:val="single" w:color="000000" w:sz="6" w:space="0"/>
            </w:tcBorders>
          </w:tcPr>
          <w:p>
            <w:pPr>
              <w:pStyle w:val="11"/>
              <w:spacing w:before="138"/>
              <w:ind w:left="209" w:right="173"/>
              <w:rPr>
                <w:b/>
                <w:sz w:val="21"/>
              </w:rPr>
            </w:pPr>
            <w:r>
              <w:rPr>
                <w:b/>
                <w:sz w:val="21"/>
              </w:rPr>
              <w:t>比较结果</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396" w:hRule="atLeast"/>
        </w:trPr>
        <w:tc>
          <w:tcPr>
            <w:tcW w:w="1755" w:type="dxa"/>
            <w:tcBorders>
              <w:top w:val="single" w:color="000000" w:sz="6" w:space="0"/>
              <w:bottom w:val="single" w:color="000000" w:sz="6" w:space="0"/>
              <w:right w:val="single" w:color="000000" w:sz="6" w:space="0"/>
            </w:tcBorders>
          </w:tcPr>
          <w:p>
            <w:pPr>
              <w:pStyle w:val="11"/>
              <w:spacing w:before="62"/>
              <w:ind w:left="222" w:right="202"/>
              <w:rPr>
                <w:sz w:val="21"/>
              </w:rPr>
            </w:pPr>
            <w:r>
              <w:rPr>
                <w:sz w:val="21"/>
              </w:rPr>
              <w:t>项目建设区</w:t>
            </w:r>
          </w:p>
        </w:tc>
        <w:tc>
          <w:tcPr>
            <w:tcW w:w="1440" w:type="dxa"/>
            <w:tcBorders>
              <w:top w:val="single" w:color="000000" w:sz="6" w:space="0"/>
              <w:left w:val="single" w:color="000000" w:sz="6" w:space="0"/>
              <w:bottom w:val="single" w:color="000000" w:sz="6" w:space="0"/>
              <w:right w:val="single" w:color="000000" w:sz="6" w:space="0"/>
            </w:tcBorders>
          </w:tcPr>
          <w:p>
            <w:pPr>
              <w:pStyle w:val="11"/>
              <w:spacing w:before="62"/>
              <w:ind w:left="280" w:right="256"/>
              <w:rPr>
                <w:sz w:val="21"/>
              </w:rPr>
            </w:pPr>
            <w:r>
              <w:rPr>
                <w:sz w:val="21"/>
              </w:rPr>
              <w:t>临时占地</w:t>
            </w:r>
          </w:p>
        </w:tc>
        <w:tc>
          <w:tcPr>
            <w:tcW w:w="1884" w:type="dxa"/>
            <w:tcBorders>
              <w:top w:val="single" w:color="000000" w:sz="6" w:space="0"/>
              <w:left w:val="single" w:color="000000" w:sz="6" w:space="0"/>
              <w:bottom w:val="single" w:color="000000" w:sz="6" w:space="0"/>
              <w:right w:val="single" w:color="000000" w:sz="6" w:space="0"/>
            </w:tcBorders>
          </w:tcPr>
          <w:p>
            <w:pPr>
              <w:pStyle w:val="11"/>
              <w:spacing w:before="76"/>
              <w:ind w:left="483" w:right="453"/>
              <w:rPr>
                <w:rFonts w:ascii="Times New Roman"/>
                <w:sz w:val="21"/>
              </w:rPr>
            </w:pPr>
            <w:r>
              <w:rPr>
                <w:rFonts w:ascii="Times New Roman"/>
                <w:sz w:val="21"/>
              </w:rPr>
              <w:t>73684.82</w:t>
            </w:r>
          </w:p>
        </w:tc>
        <w:tc>
          <w:tcPr>
            <w:tcW w:w="2294" w:type="dxa"/>
            <w:tcBorders>
              <w:top w:val="single" w:color="000000" w:sz="6" w:space="0"/>
              <w:left w:val="single" w:color="000000" w:sz="6" w:space="0"/>
              <w:bottom w:val="single" w:color="000000" w:sz="6" w:space="0"/>
              <w:right w:val="single" w:color="000000" w:sz="6" w:space="0"/>
            </w:tcBorders>
          </w:tcPr>
          <w:p>
            <w:pPr>
              <w:pStyle w:val="11"/>
              <w:spacing w:before="76"/>
              <w:ind w:left="288" w:right="260"/>
              <w:rPr>
                <w:rFonts w:ascii="Times New Roman"/>
                <w:sz w:val="21"/>
              </w:rPr>
            </w:pPr>
            <w:r>
              <w:rPr>
                <w:rFonts w:ascii="Times New Roman"/>
                <w:sz w:val="21"/>
              </w:rPr>
              <w:t>73684.82</w:t>
            </w:r>
          </w:p>
        </w:tc>
        <w:tc>
          <w:tcPr>
            <w:tcW w:w="1288" w:type="dxa"/>
            <w:tcBorders>
              <w:top w:val="single" w:color="000000" w:sz="6" w:space="0"/>
              <w:left w:val="single" w:color="000000" w:sz="6" w:space="0"/>
              <w:bottom w:val="single" w:color="000000" w:sz="6" w:space="0"/>
            </w:tcBorders>
          </w:tcPr>
          <w:p>
            <w:pPr>
              <w:pStyle w:val="11"/>
              <w:spacing w:before="76"/>
              <w:ind w:left="32"/>
              <w:rPr>
                <w:rFonts w:ascii="Times New Roman"/>
                <w:sz w:val="21"/>
              </w:rPr>
            </w:pPr>
            <w:r>
              <w:rPr>
                <w:rFonts w:ascii="Times New Roman"/>
                <w:w w:val="99"/>
                <w:sz w:val="21"/>
              </w:rPr>
              <w:t>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3195" w:type="dxa"/>
            <w:gridSpan w:val="2"/>
            <w:tcBorders>
              <w:top w:val="single" w:color="000000" w:sz="6" w:space="0"/>
              <w:bottom w:val="single" w:color="000000" w:sz="6" w:space="0"/>
              <w:right w:val="single" w:color="000000" w:sz="6" w:space="0"/>
            </w:tcBorders>
          </w:tcPr>
          <w:p>
            <w:pPr>
              <w:pStyle w:val="11"/>
              <w:spacing w:before="61"/>
              <w:ind w:left="1071"/>
              <w:jc w:val="left"/>
              <w:rPr>
                <w:sz w:val="21"/>
              </w:rPr>
            </w:pPr>
            <w:r>
              <w:rPr>
                <w:sz w:val="21"/>
              </w:rPr>
              <w:t>直接影响区</w:t>
            </w:r>
          </w:p>
        </w:tc>
        <w:tc>
          <w:tcPr>
            <w:tcW w:w="1884" w:type="dxa"/>
            <w:tcBorders>
              <w:top w:val="single" w:color="000000" w:sz="6" w:space="0"/>
              <w:left w:val="single" w:color="000000" w:sz="6" w:space="0"/>
              <w:bottom w:val="single" w:color="000000" w:sz="6" w:space="0"/>
              <w:right w:val="single" w:color="000000" w:sz="6" w:space="0"/>
            </w:tcBorders>
          </w:tcPr>
          <w:p>
            <w:pPr>
              <w:pStyle w:val="11"/>
              <w:spacing w:before="75"/>
              <w:ind w:left="479" w:right="453"/>
              <w:rPr>
                <w:rFonts w:ascii="Times New Roman"/>
                <w:sz w:val="21"/>
              </w:rPr>
            </w:pPr>
            <w:r>
              <w:rPr>
                <w:rFonts w:ascii="Times New Roman"/>
                <w:sz w:val="21"/>
              </w:rPr>
              <w:t>38358</w:t>
            </w:r>
          </w:p>
        </w:tc>
        <w:tc>
          <w:tcPr>
            <w:tcW w:w="2294" w:type="dxa"/>
            <w:tcBorders>
              <w:top w:val="single" w:color="000000" w:sz="6" w:space="0"/>
              <w:left w:val="single" w:color="000000" w:sz="6" w:space="0"/>
              <w:bottom w:val="single" w:color="000000" w:sz="6" w:space="0"/>
              <w:right w:val="single" w:color="000000" w:sz="6" w:space="0"/>
            </w:tcBorders>
          </w:tcPr>
          <w:p>
            <w:pPr>
              <w:pStyle w:val="11"/>
              <w:spacing w:before="75"/>
              <w:ind w:left="26"/>
              <w:rPr>
                <w:rFonts w:ascii="Times New Roman"/>
                <w:sz w:val="21"/>
              </w:rPr>
            </w:pPr>
            <w:r>
              <w:rPr>
                <w:rFonts w:ascii="Times New Roman"/>
                <w:w w:val="99"/>
                <w:sz w:val="21"/>
              </w:rPr>
              <w:t>0</w:t>
            </w:r>
          </w:p>
        </w:tc>
        <w:tc>
          <w:tcPr>
            <w:tcW w:w="1288" w:type="dxa"/>
            <w:tcBorders>
              <w:top w:val="single" w:color="000000" w:sz="6" w:space="0"/>
              <w:left w:val="single" w:color="000000" w:sz="6" w:space="0"/>
              <w:bottom w:val="single" w:color="000000" w:sz="6" w:space="0"/>
            </w:tcBorders>
          </w:tcPr>
          <w:p>
            <w:pPr>
              <w:pStyle w:val="11"/>
              <w:spacing w:before="75"/>
              <w:ind w:left="208" w:right="173"/>
              <w:rPr>
                <w:rFonts w:ascii="Times New Roman"/>
                <w:sz w:val="21"/>
              </w:rPr>
            </w:pPr>
            <w:r>
              <w:rPr>
                <w:rFonts w:ascii="Times New Roman"/>
                <w:sz w:val="21"/>
              </w:rPr>
              <w:t>-38358</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6" w:hRule="atLeast"/>
        </w:trPr>
        <w:tc>
          <w:tcPr>
            <w:tcW w:w="3195" w:type="dxa"/>
            <w:gridSpan w:val="2"/>
            <w:tcBorders>
              <w:top w:val="single" w:color="000000" w:sz="6" w:space="0"/>
              <w:right w:val="single" w:color="000000" w:sz="6" w:space="0"/>
            </w:tcBorders>
          </w:tcPr>
          <w:p>
            <w:pPr>
              <w:pStyle w:val="11"/>
              <w:spacing w:before="62"/>
              <w:ind w:left="1365" w:right="1345"/>
              <w:rPr>
                <w:b/>
                <w:sz w:val="21"/>
              </w:rPr>
            </w:pPr>
            <w:r>
              <w:rPr>
                <w:b/>
                <w:sz w:val="21"/>
              </w:rPr>
              <w:t>合计</w:t>
            </w:r>
          </w:p>
        </w:tc>
        <w:tc>
          <w:tcPr>
            <w:tcW w:w="1884" w:type="dxa"/>
            <w:tcBorders>
              <w:top w:val="single" w:color="000000" w:sz="6" w:space="0"/>
              <w:left w:val="single" w:color="000000" w:sz="6" w:space="0"/>
              <w:right w:val="single" w:color="000000" w:sz="6" w:space="0"/>
            </w:tcBorders>
          </w:tcPr>
          <w:p>
            <w:pPr>
              <w:pStyle w:val="11"/>
              <w:spacing w:before="76"/>
              <w:ind w:left="483" w:right="453"/>
              <w:rPr>
                <w:rFonts w:ascii="Times New Roman"/>
                <w:b/>
                <w:sz w:val="21"/>
              </w:rPr>
            </w:pPr>
            <w:r>
              <w:rPr>
                <w:rFonts w:ascii="Times New Roman"/>
                <w:b/>
                <w:sz w:val="21"/>
              </w:rPr>
              <w:t>111997.82</w:t>
            </w:r>
          </w:p>
        </w:tc>
        <w:tc>
          <w:tcPr>
            <w:tcW w:w="2294" w:type="dxa"/>
            <w:tcBorders>
              <w:top w:val="single" w:color="000000" w:sz="6" w:space="0"/>
              <w:left w:val="single" w:color="000000" w:sz="6" w:space="0"/>
              <w:right w:val="single" w:color="000000" w:sz="6" w:space="0"/>
            </w:tcBorders>
          </w:tcPr>
          <w:p>
            <w:pPr>
              <w:pStyle w:val="11"/>
              <w:spacing w:before="76"/>
              <w:ind w:left="288" w:right="260"/>
              <w:rPr>
                <w:rFonts w:ascii="Times New Roman"/>
                <w:b/>
                <w:sz w:val="21"/>
              </w:rPr>
            </w:pPr>
            <w:r>
              <w:rPr>
                <w:rFonts w:ascii="Times New Roman"/>
                <w:b/>
                <w:sz w:val="21"/>
              </w:rPr>
              <w:t>73684.82</w:t>
            </w:r>
          </w:p>
        </w:tc>
        <w:tc>
          <w:tcPr>
            <w:tcW w:w="1288" w:type="dxa"/>
            <w:tcBorders>
              <w:top w:val="single" w:color="000000" w:sz="6" w:space="0"/>
              <w:left w:val="single" w:color="000000" w:sz="6" w:space="0"/>
            </w:tcBorders>
          </w:tcPr>
          <w:p>
            <w:pPr>
              <w:pStyle w:val="11"/>
              <w:spacing w:before="76"/>
              <w:ind w:left="208" w:right="173"/>
              <w:rPr>
                <w:rFonts w:ascii="Times New Roman"/>
                <w:b/>
                <w:sz w:val="21"/>
              </w:rPr>
            </w:pPr>
            <w:r>
              <w:rPr>
                <w:rFonts w:ascii="Times New Roman"/>
                <w:b/>
                <w:sz w:val="21"/>
              </w:rPr>
              <w:t>-38358</w:t>
            </w:r>
          </w:p>
        </w:tc>
      </w:tr>
    </w:tbl>
    <w:p>
      <w:pPr>
        <w:pStyle w:val="4"/>
        <w:spacing w:before="6"/>
        <w:rPr>
          <w:rFonts w:ascii="宋体"/>
          <w:b/>
          <w:sz w:val="22"/>
        </w:rPr>
      </w:pPr>
    </w:p>
    <w:p>
      <w:pPr>
        <w:pStyle w:val="3"/>
        <w:spacing w:before="1" w:line="240" w:lineRule="auto"/>
      </w:pPr>
      <w:bookmarkStart w:id="10" w:name="_TOC_250030"/>
      <w:bookmarkEnd w:id="10"/>
      <w:r>
        <w:t>2、水土保持措施措施总体布局评估</w:t>
      </w:r>
    </w:p>
    <w:p>
      <w:pPr>
        <w:pStyle w:val="4"/>
        <w:spacing w:before="8"/>
        <w:rPr>
          <w:b/>
          <w:sz w:val="20"/>
        </w:rPr>
      </w:pPr>
    </w:p>
    <w:p>
      <w:pPr>
        <w:pStyle w:val="4"/>
        <w:spacing w:before="1" w:line="417" w:lineRule="auto"/>
        <w:ind w:left="111" w:right="251" w:firstLine="559"/>
      </w:pPr>
      <w:r>
        <w:rPr>
          <w:spacing w:val="-3"/>
        </w:rPr>
        <w:t>本项目水土保持沉措施体系及总体布局情况与水土保持方案基本一 致，水土保持措施设计及布局总体合理，各项工程措施外观整齐，建成的水土保持设施总体质量合格，工程质量达到了设计标准，各项水土流失防</w:t>
      </w:r>
    </w:p>
    <w:p>
      <w:pPr>
        <w:spacing w:after="0" w:line="417" w:lineRule="auto"/>
        <w:sectPr>
          <w:pgSz w:w="11910" w:h="16840"/>
          <w:pgMar w:top="1300" w:right="1160" w:bottom="1200" w:left="1420" w:header="878" w:footer="1005" w:gutter="0"/>
          <w:cols w:space="720" w:num="1"/>
        </w:sectPr>
      </w:pPr>
    </w:p>
    <w:p>
      <w:pPr>
        <w:pStyle w:val="4"/>
        <w:spacing w:before="4"/>
        <w:rPr>
          <w:sz w:val="9"/>
        </w:rPr>
      </w:pPr>
    </w:p>
    <w:p>
      <w:pPr>
        <w:pStyle w:val="4"/>
        <w:spacing w:before="61" w:line="417" w:lineRule="auto"/>
        <w:ind w:left="111" w:right="251"/>
      </w:pPr>
      <w:r>
        <w:t>治指标基本达到了水土保持方案确定的目标值或国家一级水土流失防治标准。</w:t>
      </w:r>
    </w:p>
    <w:p>
      <w:pPr>
        <w:pStyle w:val="3"/>
      </w:pPr>
      <w:bookmarkStart w:id="11" w:name="_TOC_250029"/>
      <w:bookmarkEnd w:id="11"/>
      <w:r>
        <w:t>3、水土保持设施完成情况</w:t>
      </w:r>
    </w:p>
    <w:p>
      <w:pPr>
        <w:pStyle w:val="4"/>
        <w:spacing w:before="9"/>
        <w:rPr>
          <w:b/>
          <w:sz w:val="20"/>
        </w:rPr>
      </w:pPr>
    </w:p>
    <w:p>
      <w:pPr>
        <w:pStyle w:val="4"/>
        <w:spacing w:line="417" w:lineRule="auto"/>
        <w:ind w:left="111" w:right="251" w:firstLine="559"/>
        <w:jc w:val="both"/>
      </w:pPr>
      <w:r>
        <w:t>本项目水土保持措施基本按照批复的水土保持方案中所确定的工程措施、植物措施和临时防护措施落实完成。本项目建设过程中，认真落实了各项水土保持措施，严格要求各施工单位按照水土保持方案提出的要求进行水土保持工程施工，有效防治工程建设过程中的水土流失</w:t>
      </w:r>
    </w:p>
    <w:p>
      <w:pPr>
        <w:pStyle w:val="4"/>
        <w:spacing w:line="358" w:lineRule="exact"/>
        <w:ind w:left="670"/>
      </w:pPr>
      <w:r>
        <w:rPr>
          <w:spacing w:val="-19"/>
        </w:rPr>
        <w:t>各项措施布设位置、内容、实施实际及完成的主要工程量详见下表</w:t>
      </w:r>
      <w:r>
        <w:t>4-2。</w:t>
      </w:r>
    </w:p>
    <w:p>
      <w:pPr>
        <w:pStyle w:val="4"/>
        <w:spacing w:before="9"/>
      </w:pPr>
    </w:p>
    <w:p>
      <w:pPr>
        <w:tabs>
          <w:tab w:val="left" w:pos="1144"/>
        </w:tabs>
        <w:spacing w:before="0"/>
        <w:ind w:left="0" w:right="113" w:firstLine="0"/>
        <w:jc w:val="center"/>
        <w:rPr>
          <w:rFonts w:hint="eastAsia" w:ascii="宋体" w:eastAsia="宋体"/>
          <w:b/>
          <w:sz w:val="24"/>
        </w:rPr>
      </w:pPr>
      <w:r>
        <w:rPr>
          <w:rFonts w:hint="eastAsia" w:ascii="宋体" w:eastAsia="宋体"/>
          <w:b/>
          <w:sz w:val="24"/>
        </w:rPr>
        <w:t>表</w:t>
      </w:r>
      <w:r>
        <w:rPr>
          <w:rFonts w:hint="eastAsia" w:ascii="宋体" w:eastAsia="宋体"/>
          <w:b/>
          <w:spacing w:val="-62"/>
          <w:sz w:val="24"/>
        </w:rPr>
        <w:t xml:space="preserve"> </w:t>
      </w:r>
      <w:r>
        <w:rPr>
          <w:rFonts w:hint="eastAsia" w:ascii="宋体" w:eastAsia="宋体"/>
          <w:b/>
          <w:sz w:val="24"/>
        </w:rPr>
        <w:t>4-2</w:t>
      </w:r>
      <w:r>
        <w:rPr>
          <w:rFonts w:hint="eastAsia" w:ascii="宋体" w:eastAsia="宋体"/>
          <w:b/>
          <w:sz w:val="24"/>
        </w:rPr>
        <w:tab/>
      </w:r>
      <w:r>
        <w:rPr>
          <w:rFonts w:hint="eastAsia" w:ascii="宋体" w:eastAsia="宋体"/>
          <w:b/>
          <w:sz w:val="24"/>
        </w:rPr>
        <w:t>各项水土保持措施工程量完成情况表</w:t>
      </w:r>
    </w:p>
    <w:p>
      <w:pPr>
        <w:pStyle w:val="4"/>
        <w:spacing w:before="4"/>
        <w:rPr>
          <w:rFonts w:ascii="宋体"/>
          <w:b/>
          <w:sz w:val="6"/>
        </w:rPr>
      </w:pPr>
    </w:p>
    <w:tbl>
      <w:tblPr>
        <w:tblStyle w:val="7"/>
        <w:tblW w:w="0" w:type="auto"/>
        <w:tblInd w:w="432"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175"/>
        <w:gridCol w:w="2347"/>
        <w:gridCol w:w="828"/>
        <w:gridCol w:w="1189"/>
        <w:gridCol w:w="1818"/>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2175" w:type="dxa"/>
            <w:tcBorders>
              <w:bottom w:val="single" w:color="000000" w:sz="4" w:space="0"/>
              <w:right w:val="single" w:color="000000" w:sz="4" w:space="0"/>
            </w:tcBorders>
          </w:tcPr>
          <w:p>
            <w:pPr>
              <w:pStyle w:val="11"/>
              <w:spacing w:before="63"/>
              <w:ind w:left="224" w:right="206"/>
              <w:rPr>
                <w:b/>
                <w:sz w:val="21"/>
              </w:rPr>
            </w:pPr>
            <w:r>
              <w:rPr>
                <w:b/>
                <w:sz w:val="21"/>
              </w:rPr>
              <w:t>措施内容</w:t>
            </w:r>
          </w:p>
        </w:tc>
        <w:tc>
          <w:tcPr>
            <w:tcW w:w="2347" w:type="dxa"/>
            <w:tcBorders>
              <w:left w:val="single" w:color="000000" w:sz="4" w:space="0"/>
              <w:bottom w:val="single" w:color="000000" w:sz="4" w:space="0"/>
              <w:right w:val="single" w:color="000000" w:sz="4" w:space="0"/>
            </w:tcBorders>
          </w:tcPr>
          <w:p>
            <w:pPr>
              <w:pStyle w:val="11"/>
              <w:spacing w:before="63"/>
              <w:ind w:left="111" w:right="83"/>
              <w:rPr>
                <w:b/>
                <w:sz w:val="21"/>
              </w:rPr>
            </w:pPr>
            <w:r>
              <w:rPr>
                <w:b/>
                <w:sz w:val="21"/>
              </w:rPr>
              <w:t>布设位置</w:t>
            </w:r>
          </w:p>
        </w:tc>
        <w:tc>
          <w:tcPr>
            <w:tcW w:w="828" w:type="dxa"/>
            <w:tcBorders>
              <w:left w:val="single" w:color="000000" w:sz="4" w:space="0"/>
              <w:bottom w:val="single" w:color="000000" w:sz="4" w:space="0"/>
              <w:right w:val="single" w:color="000000" w:sz="4" w:space="0"/>
            </w:tcBorders>
          </w:tcPr>
          <w:p>
            <w:pPr>
              <w:pStyle w:val="11"/>
              <w:spacing w:before="63"/>
              <w:ind w:left="193" w:right="163"/>
              <w:rPr>
                <w:b/>
                <w:sz w:val="21"/>
              </w:rPr>
            </w:pPr>
            <w:r>
              <w:rPr>
                <w:b/>
                <w:sz w:val="21"/>
              </w:rPr>
              <w:t>单位</w:t>
            </w:r>
          </w:p>
        </w:tc>
        <w:tc>
          <w:tcPr>
            <w:tcW w:w="1189" w:type="dxa"/>
            <w:tcBorders>
              <w:left w:val="single" w:color="000000" w:sz="4" w:space="0"/>
              <w:bottom w:val="single" w:color="000000" w:sz="4" w:space="0"/>
              <w:right w:val="single" w:color="000000" w:sz="4" w:space="0"/>
            </w:tcBorders>
          </w:tcPr>
          <w:p>
            <w:pPr>
              <w:pStyle w:val="11"/>
              <w:spacing w:before="63"/>
              <w:ind w:left="267" w:right="238"/>
              <w:rPr>
                <w:b/>
                <w:sz w:val="21"/>
              </w:rPr>
            </w:pPr>
            <w:r>
              <w:rPr>
                <w:b/>
                <w:sz w:val="21"/>
              </w:rPr>
              <w:t>工程量</w:t>
            </w:r>
          </w:p>
        </w:tc>
        <w:tc>
          <w:tcPr>
            <w:tcW w:w="1818" w:type="dxa"/>
            <w:tcBorders>
              <w:left w:val="single" w:color="000000" w:sz="4" w:space="0"/>
              <w:bottom w:val="single" w:color="000000" w:sz="4" w:space="0"/>
            </w:tcBorders>
          </w:tcPr>
          <w:p>
            <w:pPr>
              <w:pStyle w:val="11"/>
              <w:spacing w:before="63"/>
              <w:ind w:left="211" w:right="169"/>
              <w:rPr>
                <w:b/>
                <w:sz w:val="21"/>
              </w:rPr>
            </w:pPr>
            <w:r>
              <w:rPr>
                <w:b/>
                <w:sz w:val="21"/>
              </w:rPr>
              <w:t>实施时间</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2175" w:type="dxa"/>
            <w:tcBorders>
              <w:top w:val="single" w:color="000000" w:sz="4" w:space="0"/>
              <w:bottom w:val="single" w:color="000000" w:sz="4" w:space="0"/>
              <w:right w:val="single" w:color="000000" w:sz="4" w:space="0"/>
            </w:tcBorders>
          </w:tcPr>
          <w:p>
            <w:pPr>
              <w:pStyle w:val="11"/>
              <w:spacing w:before="59"/>
              <w:ind w:left="224" w:right="211"/>
              <w:rPr>
                <w:sz w:val="21"/>
              </w:rPr>
            </w:pPr>
            <w:r>
              <w:rPr>
                <w:sz w:val="21"/>
              </w:rPr>
              <w:t>沙袋拦挡</w:t>
            </w:r>
          </w:p>
        </w:tc>
        <w:tc>
          <w:tcPr>
            <w:tcW w:w="2347" w:type="dxa"/>
            <w:tcBorders>
              <w:top w:val="single" w:color="000000" w:sz="4" w:space="0"/>
              <w:left w:val="single" w:color="000000" w:sz="4" w:space="0"/>
              <w:bottom w:val="single" w:color="000000" w:sz="4" w:space="0"/>
              <w:right w:val="single" w:color="000000" w:sz="4" w:space="0"/>
            </w:tcBorders>
          </w:tcPr>
          <w:p>
            <w:pPr>
              <w:pStyle w:val="11"/>
              <w:spacing w:before="62"/>
              <w:ind w:left="111" w:right="86"/>
              <w:rPr>
                <w:sz w:val="21"/>
              </w:rPr>
            </w:pPr>
            <w:r>
              <w:rPr>
                <w:sz w:val="21"/>
              </w:rPr>
              <w:t>管槽施工及材料堆放区</w:t>
            </w:r>
          </w:p>
        </w:tc>
        <w:tc>
          <w:tcPr>
            <w:tcW w:w="828" w:type="dxa"/>
            <w:tcBorders>
              <w:top w:val="single" w:color="000000" w:sz="4" w:space="0"/>
              <w:left w:val="single" w:color="000000" w:sz="4" w:space="0"/>
              <w:bottom w:val="single" w:color="000000" w:sz="4" w:space="0"/>
              <w:right w:val="single" w:color="000000" w:sz="4" w:space="0"/>
            </w:tcBorders>
          </w:tcPr>
          <w:p>
            <w:pPr>
              <w:pStyle w:val="11"/>
              <w:spacing w:before="62"/>
              <w:ind w:left="27"/>
              <w:rPr>
                <w:sz w:val="21"/>
              </w:rPr>
            </w:pPr>
            <w:r>
              <w:rPr>
                <w:w w:val="99"/>
                <w:sz w:val="21"/>
              </w:rPr>
              <w:t>m</w:t>
            </w:r>
          </w:p>
        </w:tc>
        <w:tc>
          <w:tcPr>
            <w:tcW w:w="1189" w:type="dxa"/>
            <w:tcBorders>
              <w:top w:val="single" w:color="000000" w:sz="4" w:space="0"/>
              <w:left w:val="single" w:color="000000" w:sz="4" w:space="0"/>
              <w:bottom w:val="single" w:color="000000" w:sz="4" w:space="0"/>
              <w:right w:val="single" w:color="000000" w:sz="4" w:space="0"/>
            </w:tcBorders>
          </w:tcPr>
          <w:p>
            <w:pPr>
              <w:pStyle w:val="11"/>
              <w:spacing w:before="62"/>
              <w:ind w:left="266" w:right="238"/>
              <w:rPr>
                <w:sz w:val="21"/>
              </w:rPr>
            </w:pPr>
            <w:r>
              <w:rPr>
                <w:sz w:val="21"/>
              </w:rPr>
              <w:t>3500</w:t>
            </w:r>
          </w:p>
        </w:tc>
        <w:tc>
          <w:tcPr>
            <w:tcW w:w="1818" w:type="dxa"/>
            <w:tcBorders>
              <w:top w:val="single" w:color="000000" w:sz="4" w:space="0"/>
              <w:left w:val="single" w:color="000000" w:sz="4" w:space="0"/>
              <w:bottom w:val="single" w:color="000000" w:sz="4" w:space="0"/>
            </w:tcBorders>
          </w:tcPr>
          <w:p>
            <w:pPr>
              <w:pStyle w:val="11"/>
              <w:spacing w:before="76"/>
              <w:ind w:left="211" w:right="173"/>
              <w:rPr>
                <w:rFonts w:ascii="Times New Roman"/>
                <w:sz w:val="21"/>
              </w:rPr>
            </w:pPr>
            <w:r>
              <w:rPr>
                <w:rFonts w:ascii="Times New Roman"/>
                <w:sz w:val="21"/>
              </w:rPr>
              <w:t>2016.9~2019.8</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6" w:hRule="atLeast"/>
        </w:trPr>
        <w:tc>
          <w:tcPr>
            <w:tcW w:w="2175" w:type="dxa"/>
            <w:tcBorders>
              <w:top w:val="single" w:color="000000" w:sz="4" w:space="0"/>
              <w:bottom w:val="single" w:color="000000" w:sz="4" w:space="0"/>
              <w:right w:val="single" w:color="000000" w:sz="4" w:space="0"/>
            </w:tcBorders>
          </w:tcPr>
          <w:p>
            <w:pPr>
              <w:pStyle w:val="11"/>
              <w:spacing w:before="60"/>
              <w:ind w:left="224" w:right="208"/>
              <w:rPr>
                <w:sz w:val="21"/>
              </w:rPr>
            </w:pPr>
            <w:r>
              <w:rPr>
                <w:sz w:val="21"/>
              </w:rPr>
              <w:t>集水井</w:t>
            </w:r>
          </w:p>
        </w:tc>
        <w:tc>
          <w:tcPr>
            <w:tcW w:w="2347" w:type="dxa"/>
            <w:tcBorders>
              <w:top w:val="single" w:color="000000" w:sz="4" w:space="0"/>
              <w:left w:val="single" w:color="000000" w:sz="4" w:space="0"/>
              <w:bottom w:val="single" w:color="000000" w:sz="4" w:space="0"/>
              <w:right w:val="single" w:color="000000" w:sz="4" w:space="0"/>
            </w:tcBorders>
          </w:tcPr>
          <w:p>
            <w:pPr>
              <w:pStyle w:val="11"/>
              <w:spacing w:before="63"/>
              <w:ind w:left="111" w:right="83"/>
              <w:rPr>
                <w:sz w:val="21"/>
              </w:rPr>
            </w:pPr>
            <w:r>
              <w:rPr>
                <w:sz w:val="21"/>
              </w:rPr>
              <w:t>管槽施工区</w:t>
            </w:r>
          </w:p>
        </w:tc>
        <w:tc>
          <w:tcPr>
            <w:tcW w:w="828" w:type="dxa"/>
            <w:tcBorders>
              <w:top w:val="single" w:color="000000" w:sz="4" w:space="0"/>
              <w:left w:val="single" w:color="000000" w:sz="4" w:space="0"/>
              <w:bottom w:val="single" w:color="000000" w:sz="4" w:space="0"/>
              <w:right w:val="single" w:color="000000" w:sz="4" w:space="0"/>
            </w:tcBorders>
          </w:tcPr>
          <w:p>
            <w:pPr>
              <w:pStyle w:val="11"/>
              <w:spacing w:before="63"/>
              <w:ind w:left="26"/>
              <w:rPr>
                <w:sz w:val="21"/>
              </w:rPr>
            </w:pPr>
            <w:r>
              <w:rPr>
                <w:w w:val="99"/>
                <w:sz w:val="21"/>
              </w:rPr>
              <w:t>座</w:t>
            </w:r>
          </w:p>
        </w:tc>
        <w:tc>
          <w:tcPr>
            <w:tcW w:w="1189" w:type="dxa"/>
            <w:tcBorders>
              <w:top w:val="single" w:color="000000" w:sz="4" w:space="0"/>
              <w:left w:val="single" w:color="000000" w:sz="4" w:space="0"/>
              <w:bottom w:val="single" w:color="000000" w:sz="4" w:space="0"/>
              <w:right w:val="single" w:color="000000" w:sz="4" w:space="0"/>
            </w:tcBorders>
          </w:tcPr>
          <w:p>
            <w:pPr>
              <w:pStyle w:val="11"/>
              <w:spacing w:before="63"/>
              <w:ind w:left="264" w:right="238"/>
              <w:rPr>
                <w:sz w:val="21"/>
              </w:rPr>
            </w:pPr>
            <w:r>
              <w:rPr>
                <w:sz w:val="21"/>
              </w:rPr>
              <w:t>56</w:t>
            </w:r>
          </w:p>
        </w:tc>
        <w:tc>
          <w:tcPr>
            <w:tcW w:w="1818" w:type="dxa"/>
            <w:tcBorders>
              <w:top w:val="single" w:color="000000" w:sz="4" w:space="0"/>
              <w:left w:val="single" w:color="000000" w:sz="4" w:space="0"/>
              <w:bottom w:val="single" w:color="000000" w:sz="4" w:space="0"/>
            </w:tcBorders>
          </w:tcPr>
          <w:p>
            <w:pPr>
              <w:pStyle w:val="11"/>
              <w:spacing w:before="77"/>
              <w:ind w:left="211" w:right="173"/>
              <w:rPr>
                <w:rFonts w:ascii="Times New Roman"/>
                <w:sz w:val="21"/>
              </w:rPr>
            </w:pPr>
            <w:r>
              <w:rPr>
                <w:rFonts w:ascii="Times New Roman"/>
                <w:sz w:val="21"/>
              </w:rPr>
              <w:t>2016.12~2019.8</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2175" w:type="dxa"/>
            <w:tcBorders>
              <w:top w:val="single" w:color="000000" w:sz="4" w:space="0"/>
              <w:bottom w:val="single" w:color="000000" w:sz="4" w:space="0"/>
              <w:right w:val="single" w:color="000000" w:sz="4" w:space="0"/>
            </w:tcBorders>
          </w:tcPr>
          <w:p>
            <w:pPr>
              <w:pStyle w:val="11"/>
              <w:spacing w:before="59"/>
              <w:ind w:left="224" w:right="206"/>
              <w:rPr>
                <w:sz w:val="21"/>
              </w:rPr>
            </w:pPr>
            <w:r>
              <w:rPr>
                <w:sz w:val="21"/>
              </w:rPr>
              <w:t>移动沉砂池</w:t>
            </w:r>
          </w:p>
        </w:tc>
        <w:tc>
          <w:tcPr>
            <w:tcW w:w="2347" w:type="dxa"/>
            <w:tcBorders>
              <w:top w:val="single" w:color="000000" w:sz="4" w:space="0"/>
              <w:left w:val="single" w:color="000000" w:sz="4" w:space="0"/>
              <w:bottom w:val="single" w:color="000000" w:sz="4" w:space="0"/>
              <w:right w:val="single" w:color="000000" w:sz="4" w:space="0"/>
            </w:tcBorders>
          </w:tcPr>
          <w:p>
            <w:pPr>
              <w:pStyle w:val="11"/>
              <w:spacing w:before="64"/>
              <w:ind w:left="111" w:right="83"/>
              <w:rPr>
                <w:sz w:val="21"/>
              </w:rPr>
            </w:pPr>
            <w:r>
              <w:rPr>
                <w:sz w:val="21"/>
              </w:rPr>
              <w:t>管槽施工区</w:t>
            </w:r>
          </w:p>
        </w:tc>
        <w:tc>
          <w:tcPr>
            <w:tcW w:w="828" w:type="dxa"/>
            <w:tcBorders>
              <w:top w:val="single" w:color="000000" w:sz="4" w:space="0"/>
              <w:left w:val="single" w:color="000000" w:sz="4" w:space="0"/>
              <w:bottom w:val="single" w:color="000000" w:sz="4" w:space="0"/>
              <w:right w:val="single" w:color="000000" w:sz="4" w:space="0"/>
            </w:tcBorders>
          </w:tcPr>
          <w:p>
            <w:pPr>
              <w:pStyle w:val="11"/>
              <w:spacing w:before="64"/>
              <w:ind w:left="26"/>
              <w:rPr>
                <w:sz w:val="21"/>
              </w:rPr>
            </w:pPr>
            <w:r>
              <w:rPr>
                <w:w w:val="99"/>
                <w:sz w:val="21"/>
              </w:rPr>
              <w:t>座</w:t>
            </w:r>
          </w:p>
        </w:tc>
        <w:tc>
          <w:tcPr>
            <w:tcW w:w="1189" w:type="dxa"/>
            <w:tcBorders>
              <w:top w:val="single" w:color="000000" w:sz="4" w:space="0"/>
              <w:left w:val="single" w:color="000000" w:sz="4" w:space="0"/>
              <w:bottom w:val="single" w:color="000000" w:sz="4" w:space="0"/>
              <w:right w:val="single" w:color="000000" w:sz="4" w:space="0"/>
            </w:tcBorders>
          </w:tcPr>
          <w:p>
            <w:pPr>
              <w:pStyle w:val="11"/>
              <w:spacing w:before="64"/>
              <w:ind w:left="264" w:right="238"/>
              <w:rPr>
                <w:sz w:val="21"/>
              </w:rPr>
            </w:pPr>
            <w:r>
              <w:rPr>
                <w:sz w:val="21"/>
              </w:rPr>
              <w:t>15</w:t>
            </w:r>
          </w:p>
        </w:tc>
        <w:tc>
          <w:tcPr>
            <w:tcW w:w="1818" w:type="dxa"/>
            <w:tcBorders>
              <w:top w:val="single" w:color="000000" w:sz="4" w:space="0"/>
              <w:left w:val="single" w:color="000000" w:sz="4" w:space="0"/>
              <w:bottom w:val="single" w:color="000000" w:sz="4" w:space="0"/>
            </w:tcBorders>
          </w:tcPr>
          <w:p>
            <w:pPr>
              <w:pStyle w:val="11"/>
              <w:spacing w:before="78"/>
              <w:ind w:left="211" w:right="173"/>
              <w:rPr>
                <w:rFonts w:ascii="Times New Roman"/>
                <w:sz w:val="21"/>
              </w:rPr>
            </w:pPr>
            <w:r>
              <w:rPr>
                <w:rFonts w:ascii="Times New Roman"/>
                <w:sz w:val="21"/>
              </w:rPr>
              <w:t>2016.9~2019.8</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6" w:hRule="atLeast"/>
        </w:trPr>
        <w:tc>
          <w:tcPr>
            <w:tcW w:w="2175" w:type="dxa"/>
            <w:tcBorders>
              <w:top w:val="single" w:color="000000" w:sz="4" w:space="0"/>
              <w:bottom w:val="single" w:color="000000" w:sz="4" w:space="0"/>
              <w:right w:val="single" w:color="000000" w:sz="4" w:space="0"/>
            </w:tcBorders>
          </w:tcPr>
          <w:p>
            <w:pPr>
              <w:pStyle w:val="11"/>
              <w:spacing w:before="60"/>
              <w:ind w:left="224" w:right="206"/>
              <w:rPr>
                <w:sz w:val="21"/>
              </w:rPr>
            </w:pPr>
            <w:r>
              <w:rPr>
                <w:sz w:val="21"/>
              </w:rPr>
              <w:t>抽排水设备</w:t>
            </w:r>
          </w:p>
        </w:tc>
        <w:tc>
          <w:tcPr>
            <w:tcW w:w="2347" w:type="dxa"/>
            <w:tcBorders>
              <w:top w:val="single" w:color="000000" w:sz="4" w:space="0"/>
              <w:left w:val="single" w:color="000000" w:sz="4" w:space="0"/>
              <w:bottom w:val="single" w:color="000000" w:sz="4" w:space="0"/>
              <w:right w:val="single" w:color="000000" w:sz="4" w:space="0"/>
            </w:tcBorders>
          </w:tcPr>
          <w:p>
            <w:pPr>
              <w:pStyle w:val="11"/>
              <w:spacing w:before="62"/>
              <w:ind w:left="111" w:right="83"/>
              <w:rPr>
                <w:sz w:val="21"/>
              </w:rPr>
            </w:pPr>
            <w:r>
              <w:rPr>
                <w:sz w:val="21"/>
              </w:rPr>
              <w:t>管槽施工区</w:t>
            </w:r>
          </w:p>
        </w:tc>
        <w:tc>
          <w:tcPr>
            <w:tcW w:w="828" w:type="dxa"/>
            <w:tcBorders>
              <w:top w:val="single" w:color="000000" w:sz="4" w:space="0"/>
              <w:left w:val="single" w:color="000000" w:sz="4" w:space="0"/>
              <w:bottom w:val="single" w:color="000000" w:sz="4" w:space="0"/>
              <w:right w:val="single" w:color="000000" w:sz="4" w:space="0"/>
            </w:tcBorders>
          </w:tcPr>
          <w:p>
            <w:pPr>
              <w:pStyle w:val="11"/>
              <w:spacing w:before="62"/>
              <w:ind w:left="26"/>
              <w:rPr>
                <w:sz w:val="21"/>
              </w:rPr>
            </w:pPr>
            <w:r>
              <w:rPr>
                <w:w w:val="99"/>
                <w:sz w:val="21"/>
              </w:rPr>
              <w:t>套</w:t>
            </w:r>
          </w:p>
        </w:tc>
        <w:tc>
          <w:tcPr>
            <w:tcW w:w="1189" w:type="dxa"/>
            <w:tcBorders>
              <w:top w:val="single" w:color="000000" w:sz="4" w:space="0"/>
              <w:left w:val="single" w:color="000000" w:sz="4" w:space="0"/>
              <w:bottom w:val="single" w:color="000000" w:sz="4" w:space="0"/>
              <w:right w:val="single" w:color="000000" w:sz="4" w:space="0"/>
            </w:tcBorders>
          </w:tcPr>
          <w:p>
            <w:pPr>
              <w:pStyle w:val="11"/>
              <w:spacing w:before="62"/>
              <w:ind w:left="26"/>
              <w:rPr>
                <w:sz w:val="21"/>
              </w:rPr>
            </w:pPr>
            <w:r>
              <w:rPr>
                <w:w w:val="99"/>
                <w:sz w:val="21"/>
              </w:rPr>
              <w:t>5</w:t>
            </w:r>
          </w:p>
        </w:tc>
        <w:tc>
          <w:tcPr>
            <w:tcW w:w="1818" w:type="dxa"/>
            <w:tcBorders>
              <w:top w:val="single" w:color="000000" w:sz="4" w:space="0"/>
              <w:left w:val="single" w:color="000000" w:sz="4" w:space="0"/>
              <w:bottom w:val="single" w:color="000000" w:sz="4" w:space="0"/>
            </w:tcBorders>
          </w:tcPr>
          <w:p>
            <w:pPr>
              <w:pStyle w:val="11"/>
              <w:spacing w:before="76"/>
              <w:ind w:left="211" w:right="173"/>
              <w:rPr>
                <w:rFonts w:ascii="Times New Roman"/>
                <w:sz w:val="21"/>
              </w:rPr>
            </w:pPr>
            <w:r>
              <w:rPr>
                <w:rFonts w:ascii="Times New Roman"/>
                <w:sz w:val="21"/>
              </w:rPr>
              <w:t>2016.10~2019.8</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2175" w:type="dxa"/>
            <w:tcBorders>
              <w:top w:val="single" w:color="000000" w:sz="4" w:space="0"/>
              <w:bottom w:val="single" w:color="000000" w:sz="4" w:space="0"/>
              <w:right w:val="single" w:color="000000" w:sz="4" w:space="0"/>
            </w:tcBorders>
          </w:tcPr>
          <w:p>
            <w:pPr>
              <w:pStyle w:val="11"/>
              <w:spacing w:before="61"/>
              <w:ind w:left="224" w:right="211"/>
              <w:rPr>
                <w:sz w:val="21"/>
              </w:rPr>
            </w:pPr>
            <w:r>
              <w:rPr>
                <w:sz w:val="21"/>
              </w:rPr>
              <w:t>施工护栏</w:t>
            </w:r>
          </w:p>
        </w:tc>
        <w:tc>
          <w:tcPr>
            <w:tcW w:w="2347" w:type="dxa"/>
            <w:tcBorders>
              <w:top w:val="single" w:color="000000" w:sz="4" w:space="0"/>
              <w:left w:val="single" w:color="000000" w:sz="4" w:space="0"/>
              <w:bottom w:val="single" w:color="000000" w:sz="4" w:space="0"/>
              <w:right w:val="single" w:color="000000" w:sz="4" w:space="0"/>
            </w:tcBorders>
          </w:tcPr>
          <w:p>
            <w:pPr>
              <w:pStyle w:val="11"/>
              <w:spacing w:before="63"/>
              <w:ind w:left="111" w:right="86"/>
              <w:rPr>
                <w:sz w:val="21"/>
              </w:rPr>
            </w:pPr>
            <w:r>
              <w:rPr>
                <w:sz w:val="21"/>
              </w:rPr>
              <w:t>管槽施工及材料堆放区</w:t>
            </w:r>
          </w:p>
        </w:tc>
        <w:tc>
          <w:tcPr>
            <w:tcW w:w="828" w:type="dxa"/>
            <w:tcBorders>
              <w:top w:val="single" w:color="000000" w:sz="4" w:space="0"/>
              <w:left w:val="single" w:color="000000" w:sz="4" w:space="0"/>
              <w:bottom w:val="single" w:color="000000" w:sz="4" w:space="0"/>
              <w:right w:val="single" w:color="000000" w:sz="4" w:space="0"/>
            </w:tcBorders>
          </w:tcPr>
          <w:p>
            <w:pPr>
              <w:pStyle w:val="11"/>
              <w:spacing w:before="63"/>
              <w:ind w:left="27"/>
              <w:rPr>
                <w:sz w:val="21"/>
              </w:rPr>
            </w:pPr>
            <w:r>
              <w:rPr>
                <w:w w:val="99"/>
                <w:sz w:val="21"/>
              </w:rPr>
              <w:t>m</w:t>
            </w:r>
          </w:p>
        </w:tc>
        <w:tc>
          <w:tcPr>
            <w:tcW w:w="1189" w:type="dxa"/>
            <w:tcBorders>
              <w:top w:val="single" w:color="000000" w:sz="4" w:space="0"/>
              <w:left w:val="single" w:color="000000" w:sz="4" w:space="0"/>
              <w:bottom w:val="single" w:color="000000" w:sz="4" w:space="0"/>
              <w:right w:val="single" w:color="000000" w:sz="4" w:space="0"/>
            </w:tcBorders>
          </w:tcPr>
          <w:p>
            <w:pPr>
              <w:pStyle w:val="11"/>
              <w:spacing w:before="63"/>
              <w:ind w:left="266" w:right="238"/>
              <w:rPr>
                <w:sz w:val="21"/>
              </w:rPr>
            </w:pPr>
            <w:r>
              <w:rPr>
                <w:sz w:val="21"/>
              </w:rPr>
              <w:t>6500</w:t>
            </w:r>
          </w:p>
        </w:tc>
        <w:tc>
          <w:tcPr>
            <w:tcW w:w="1818" w:type="dxa"/>
            <w:tcBorders>
              <w:top w:val="single" w:color="000000" w:sz="4" w:space="0"/>
              <w:left w:val="single" w:color="000000" w:sz="4" w:space="0"/>
              <w:bottom w:val="single" w:color="000000" w:sz="4" w:space="0"/>
            </w:tcBorders>
          </w:tcPr>
          <w:p>
            <w:pPr>
              <w:pStyle w:val="11"/>
              <w:spacing w:before="77"/>
              <w:ind w:left="211" w:right="173"/>
              <w:rPr>
                <w:rFonts w:ascii="Times New Roman"/>
                <w:sz w:val="21"/>
              </w:rPr>
            </w:pPr>
            <w:r>
              <w:rPr>
                <w:rFonts w:ascii="Times New Roman"/>
                <w:sz w:val="21"/>
              </w:rPr>
              <w:t>2016.9~2017.4</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2175" w:type="dxa"/>
            <w:tcBorders>
              <w:top w:val="single" w:color="000000" w:sz="4" w:space="0"/>
              <w:bottom w:val="single" w:color="000000" w:sz="4" w:space="0"/>
              <w:right w:val="single" w:color="000000" w:sz="4" w:space="0"/>
            </w:tcBorders>
          </w:tcPr>
          <w:p>
            <w:pPr>
              <w:pStyle w:val="11"/>
              <w:spacing w:before="59"/>
              <w:ind w:left="224" w:right="208"/>
              <w:rPr>
                <w:sz w:val="21"/>
              </w:rPr>
            </w:pPr>
            <w:r>
              <w:rPr>
                <w:sz w:val="21"/>
              </w:rPr>
              <w:t>彩条布</w:t>
            </w:r>
          </w:p>
        </w:tc>
        <w:tc>
          <w:tcPr>
            <w:tcW w:w="2347" w:type="dxa"/>
            <w:tcBorders>
              <w:top w:val="single" w:color="000000" w:sz="4" w:space="0"/>
              <w:left w:val="single" w:color="000000" w:sz="4" w:space="0"/>
              <w:bottom w:val="single" w:color="000000" w:sz="4" w:space="0"/>
              <w:right w:val="single" w:color="000000" w:sz="4" w:space="0"/>
            </w:tcBorders>
          </w:tcPr>
          <w:p>
            <w:pPr>
              <w:pStyle w:val="11"/>
              <w:spacing w:before="62"/>
              <w:ind w:left="111" w:right="86"/>
              <w:rPr>
                <w:sz w:val="21"/>
              </w:rPr>
            </w:pPr>
            <w:r>
              <w:rPr>
                <w:sz w:val="21"/>
              </w:rPr>
              <w:t>各分区裸露面</w:t>
            </w:r>
          </w:p>
        </w:tc>
        <w:tc>
          <w:tcPr>
            <w:tcW w:w="828" w:type="dxa"/>
            <w:tcBorders>
              <w:top w:val="single" w:color="000000" w:sz="4" w:space="0"/>
              <w:left w:val="single" w:color="000000" w:sz="4" w:space="0"/>
              <w:bottom w:val="single" w:color="000000" w:sz="4" w:space="0"/>
              <w:right w:val="single" w:color="000000" w:sz="4" w:space="0"/>
            </w:tcBorders>
          </w:tcPr>
          <w:p>
            <w:pPr>
              <w:pStyle w:val="11"/>
              <w:spacing w:before="59"/>
              <w:ind w:left="191" w:right="163"/>
              <w:rPr>
                <w:sz w:val="10"/>
              </w:rPr>
            </w:pPr>
            <w:r>
              <w:rPr>
                <w:spacing w:val="1"/>
                <w:w w:val="99"/>
                <w:position w:val="-9"/>
                <w:sz w:val="21"/>
              </w:rPr>
              <w:t>m</w:t>
            </w:r>
            <w:r>
              <w:rPr>
                <w:w w:val="106"/>
                <w:sz w:val="10"/>
              </w:rPr>
              <w:t>2</w:t>
            </w:r>
          </w:p>
        </w:tc>
        <w:tc>
          <w:tcPr>
            <w:tcW w:w="1189" w:type="dxa"/>
            <w:tcBorders>
              <w:top w:val="single" w:color="000000" w:sz="4" w:space="0"/>
              <w:left w:val="single" w:color="000000" w:sz="4" w:space="0"/>
              <w:bottom w:val="single" w:color="000000" w:sz="4" w:space="0"/>
              <w:right w:val="single" w:color="000000" w:sz="4" w:space="0"/>
            </w:tcBorders>
          </w:tcPr>
          <w:p>
            <w:pPr>
              <w:pStyle w:val="11"/>
              <w:spacing w:before="62"/>
              <w:ind w:left="266" w:right="238"/>
              <w:rPr>
                <w:sz w:val="21"/>
              </w:rPr>
            </w:pPr>
            <w:r>
              <w:rPr>
                <w:sz w:val="21"/>
              </w:rPr>
              <w:t>12000</w:t>
            </w:r>
          </w:p>
        </w:tc>
        <w:tc>
          <w:tcPr>
            <w:tcW w:w="1818" w:type="dxa"/>
            <w:tcBorders>
              <w:top w:val="single" w:color="000000" w:sz="4" w:space="0"/>
              <w:left w:val="single" w:color="000000" w:sz="4" w:space="0"/>
              <w:bottom w:val="single" w:color="000000" w:sz="4" w:space="0"/>
            </w:tcBorders>
          </w:tcPr>
          <w:p>
            <w:pPr>
              <w:pStyle w:val="11"/>
              <w:spacing w:before="76"/>
              <w:ind w:left="211" w:right="173"/>
              <w:rPr>
                <w:rFonts w:ascii="Times New Roman"/>
                <w:sz w:val="21"/>
              </w:rPr>
            </w:pPr>
            <w:r>
              <w:rPr>
                <w:rFonts w:ascii="Times New Roman"/>
                <w:sz w:val="21"/>
              </w:rPr>
              <w:t>2016.9~2019.8</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6" w:hRule="atLeast"/>
        </w:trPr>
        <w:tc>
          <w:tcPr>
            <w:tcW w:w="2175" w:type="dxa"/>
            <w:tcBorders>
              <w:top w:val="single" w:color="000000" w:sz="4" w:space="0"/>
              <w:right w:val="single" w:color="000000" w:sz="4" w:space="0"/>
            </w:tcBorders>
          </w:tcPr>
          <w:p>
            <w:pPr>
              <w:pStyle w:val="11"/>
              <w:spacing w:before="60"/>
              <w:ind w:left="224" w:right="211"/>
              <w:rPr>
                <w:sz w:val="21"/>
              </w:rPr>
            </w:pPr>
            <w:r>
              <w:rPr>
                <w:sz w:val="21"/>
              </w:rPr>
              <w:t>高压水枪冲洗设施</w:t>
            </w:r>
          </w:p>
        </w:tc>
        <w:tc>
          <w:tcPr>
            <w:tcW w:w="2347" w:type="dxa"/>
            <w:tcBorders>
              <w:top w:val="single" w:color="000000" w:sz="4" w:space="0"/>
              <w:left w:val="single" w:color="000000" w:sz="4" w:space="0"/>
              <w:right w:val="single" w:color="000000" w:sz="4" w:space="0"/>
            </w:tcBorders>
          </w:tcPr>
          <w:p>
            <w:pPr>
              <w:pStyle w:val="11"/>
              <w:spacing w:before="63"/>
              <w:ind w:left="111" w:right="83"/>
              <w:rPr>
                <w:sz w:val="21"/>
              </w:rPr>
            </w:pPr>
            <w:r>
              <w:rPr>
                <w:sz w:val="21"/>
              </w:rPr>
              <w:t>车辆出入口</w:t>
            </w:r>
          </w:p>
        </w:tc>
        <w:tc>
          <w:tcPr>
            <w:tcW w:w="828" w:type="dxa"/>
            <w:tcBorders>
              <w:top w:val="single" w:color="000000" w:sz="4" w:space="0"/>
              <w:left w:val="single" w:color="000000" w:sz="4" w:space="0"/>
              <w:right w:val="single" w:color="000000" w:sz="4" w:space="0"/>
            </w:tcBorders>
          </w:tcPr>
          <w:p>
            <w:pPr>
              <w:pStyle w:val="11"/>
              <w:spacing w:before="63"/>
              <w:ind w:left="26"/>
              <w:rPr>
                <w:sz w:val="21"/>
              </w:rPr>
            </w:pPr>
            <w:r>
              <w:rPr>
                <w:w w:val="99"/>
                <w:sz w:val="21"/>
              </w:rPr>
              <w:t>套</w:t>
            </w:r>
          </w:p>
        </w:tc>
        <w:tc>
          <w:tcPr>
            <w:tcW w:w="1189" w:type="dxa"/>
            <w:tcBorders>
              <w:top w:val="single" w:color="000000" w:sz="4" w:space="0"/>
              <w:left w:val="single" w:color="000000" w:sz="4" w:space="0"/>
              <w:right w:val="single" w:color="000000" w:sz="4" w:space="0"/>
            </w:tcBorders>
          </w:tcPr>
          <w:p>
            <w:pPr>
              <w:pStyle w:val="11"/>
              <w:spacing w:before="63"/>
              <w:ind w:left="26"/>
              <w:rPr>
                <w:sz w:val="21"/>
              </w:rPr>
            </w:pPr>
            <w:r>
              <w:rPr>
                <w:w w:val="99"/>
                <w:sz w:val="21"/>
              </w:rPr>
              <w:t>5</w:t>
            </w:r>
          </w:p>
        </w:tc>
        <w:tc>
          <w:tcPr>
            <w:tcW w:w="1818" w:type="dxa"/>
            <w:tcBorders>
              <w:top w:val="single" w:color="000000" w:sz="4" w:space="0"/>
              <w:left w:val="single" w:color="000000" w:sz="4" w:space="0"/>
            </w:tcBorders>
          </w:tcPr>
          <w:p>
            <w:pPr>
              <w:pStyle w:val="11"/>
              <w:spacing w:before="77"/>
              <w:ind w:left="211" w:right="173"/>
              <w:rPr>
                <w:rFonts w:ascii="Times New Roman"/>
                <w:sz w:val="21"/>
              </w:rPr>
            </w:pPr>
            <w:r>
              <w:rPr>
                <w:rFonts w:ascii="Times New Roman"/>
                <w:sz w:val="21"/>
              </w:rPr>
              <w:t>2016.9~2019.8</w:t>
            </w:r>
          </w:p>
        </w:tc>
      </w:tr>
    </w:tbl>
    <w:p>
      <w:pPr>
        <w:pStyle w:val="4"/>
        <w:spacing w:before="8"/>
        <w:rPr>
          <w:rFonts w:ascii="宋体"/>
          <w:b/>
          <w:sz w:val="22"/>
        </w:rPr>
      </w:pPr>
    </w:p>
    <w:p>
      <w:pPr>
        <w:pStyle w:val="3"/>
        <w:spacing w:line="240" w:lineRule="auto"/>
      </w:pPr>
      <w:bookmarkStart w:id="12" w:name="_TOC_250028"/>
      <w:bookmarkEnd w:id="12"/>
      <w:r>
        <w:t>4、水土保持投资完成情况</w:t>
      </w:r>
    </w:p>
    <w:p>
      <w:pPr>
        <w:pStyle w:val="4"/>
        <w:spacing w:before="9"/>
        <w:rPr>
          <w:b/>
          <w:sz w:val="20"/>
        </w:rPr>
      </w:pPr>
    </w:p>
    <w:p>
      <w:pPr>
        <w:pStyle w:val="10"/>
        <w:numPr>
          <w:ilvl w:val="0"/>
          <w:numId w:val="6"/>
        </w:numPr>
        <w:tabs>
          <w:tab w:val="left" w:pos="1370"/>
        </w:tabs>
        <w:spacing w:before="0" w:after="0" w:line="240" w:lineRule="auto"/>
        <w:ind w:left="1370" w:right="0" w:hanging="702"/>
        <w:jc w:val="left"/>
        <w:rPr>
          <w:sz w:val="28"/>
        </w:rPr>
      </w:pPr>
      <w:r>
        <w:rPr>
          <w:spacing w:val="-3"/>
          <w:sz w:val="28"/>
        </w:rPr>
        <w:t>水保方案批复的投资</w:t>
      </w:r>
    </w:p>
    <w:p>
      <w:pPr>
        <w:pStyle w:val="4"/>
        <w:spacing w:before="9"/>
        <w:rPr>
          <w:sz w:val="20"/>
        </w:rPr>
      </w:pPr>
    </w:p>
    <w:p>
      <w:pPr>
        <w:pStyle w:val="4"/>
        <w:spacing w:line="417" w:lineRule="auto"/>
        <w:ind w:left="111" w:right="241" w:firstLine="556"/>
        <w:jc w:val="both"/>
      </w:pPr>
      <w:r>
        <w:rPr>
          <w:spacing w:val="-5"/>
        </w:rPr>
        <w:t>根据深圳市龙岗区环境保护和水务局深龙环水保复【</w:t>
      </w:r>
      <w:r>
        <w:t>2015</w:t>
      </w:r>
      <w:r>
        <w:rPr>
          <w:spacing w:val="-32"/>
        </w:rPr>
        <w:t>】</w:t>
      </w:r>
      <w:r>
        <w:t>25</w:t>
      </w:r>
      <w:r>
        <w:rPr>
          <w:spacing w:val="-16"/>
        </w:rPr>
        <w:t xml:space="preserve"> 号文件</w:t>
      </w:r>
      <w:r>
        <w:rPr>
          <w:spacing w:val="-3"/>
        </w:rPr>
        <w:t>对《深圳市龙岗区龙城街道龙西社区雨污分流管网工程水土保持方案报告表》的批复，同意该方案中的水土保持措施总体布局及分区防治措施。本项目水土保持方案批准的水土保持工程量包括管槽施工区、施工便道区和</w:t>
      </w:r>
      <w:r>
        <w:rPr>
          <w:spacing w:val="-14"/>
        </w:rPr>
        <w:t xml:space="preserve">材料堆放区 </w:t>
      </w:r>
      <w:r>
        <w:t>3</w:t>
      </w:r>
      <w:r>
        <w:rPr>
          <w:spacing w:val="-10"/>
        </w:rPr>
        <w:t xml:space="preserve"> 个防治区所采取的水土流失防治措施的数量，批准的水土保</w:t>
      </w:r>
    </w:p>
    <w:p>
      <w:pPr>
        <w:pStyle w:val="4"/>
        <w:spacing w:line="358" w:lineRule="exact"/>
        <w:ind w:left="111"/>
        <w:jc w:val="both"/>
      </w:pPr>
      <w:r>
        <w:rPr>
          <w:spacing w:val="-14"/>
        </w:rPr>
        <w:t xml:space="preserve">持总投资为 </w:t>
      </w:r>
      <w:r>
        <w:t>175.22</w:t>
      </w:r>
      <w:r>
        <w:rPr>
          <w:spacing w:val="-20"/>
        </w:rPr>
        <w:t xml:space="preserve"> 万元，其中主体工程已列 </w:t>
      </w:r>
      <w:r>
        <w:t>74.80</w:t>
      </w:r>
      <w:r>
        <w:rPr>
          <w:spacing w:val="-17"/>
        </w:rPr>
        <w:t xml:space="preserve"> 万元，水保方案新增投</w:t>
      </w:r>
    </w:p>
    <w:p>
      <w:pPr>
        <w:spacing w:after="0" w:line="358" w:lineRule="exact"/>
        <w:jc w:val="both"/>
        <w:sectPr>
          <w:pgSz w:w="11910" w:h="16840"/>
          <w:pgMar w:top="1300" w:right="1160" w:bottom="1200" w:left="1420" w:header="878" w:footer="1005" w:gutter="0"/>
          <w:cols w:space="720" w:num="1"/>
        </w:sectPr>
      </w:pPr>
    </w:p>
    <w:p>
      <w:pPr>
        <w:pStyle w:val="4"/>
        <w:spacing w:before="4"/>
        <w:rPr>
          <w:sz w:val="9"/>
        </w:rPr>
      </w:pPr>
    </w:p>
    <w:p>
      <w:pPr>
        <w:pStyle w:val="4"/>
        <w:spacing w:before="61"/>
        <w:ind w:left="111"/>
      </w:pPr>
      <w:r>
        <w:t>资 100.42 万元。</w:t>
      </w:r>
    </w:p>
    <w:p>
      <w:pPr>
        <w:pStyle w:val="4"/>
        <w:spacing w:before="9"/>
        <w:rPr>
          <w:sz w:val="20"/>
        </w:rPr>
      </w:pPr>
    </w:p>
    <w:p>
      <w:pPr>
        <w:pStyle w:val="10"/>
        <w:numPr>
          <w:ilvl w:val="0"/>
          <w:numId w:val="6"/>
        </w:numPr>
        <w:tabs>
          <w:tab w:val="left" w:pos="1370"/>
        </w:tabs>
        <w:spacing w:before="0" w:after="0" w:line="240" w:lineRule="auto"/>
        <w:ind w:left="1370" w:right="0" w:hanging="702"/>
        <w:jc w:val="left"/>
        <w:rPr>
          <w:sz w:val="28"/>
        </w:rPr>
      </w:pPr>
      <w:r>
        <w:rPr>
          <w:spacing w:val="-3"/>
          <w:sz w:val="28"/>
        </w:rPr>
        <w:t>实际完成投资及变化原因</w:t>
      </w:r>
    </w:p>
    <w:p>
      <w:pPr>
        <w:pStyle w:val="4"/>
        <w:spacing w:before="9"/>
        <w:rPr>
          <w:sz w:val="20"/>
        </w:rPr>
      </w:pPr>
    </w:p>
    <w:p>
      <w:pPr>
        <w:pStyle w:val="4"/>
        <w:spacing w:line="417" w:lineRule="auto"/>
        <w:ind w:left="111" w:right="102" w:firstLine="556"/>
      </w:pPr>
      <w:r>
        <w:rPr>
          <w:spacing w:val="-9"/>
        </w:rPr>
        <w:t xml:space="preserve">本项目实际完成水保投资约 </w:t>
      </w:r>
      <w:r>
        <w:t>180</w:t>
      </w:r>
      <w:r>
        <w:rPr>
          <w:spacing w:val="-28"/>
        </w:rPr>
        <w:t xml:space="preserve"> 万元，是批复水保投资</w:t>
      </w:r>
      <w:r>
        <w:t>（175.22</w:t>
      </w:r>
      <w:r>
        <w:rPr>
          <w:spacing w:val="-24"/>
        </w:rPr>
        <w:t xml:space="preserve"> 万元</w:t>
      </w:r>
      <w:r>
        <w:t xml:space="preserve">） </w:t>
      </w:r>
      <w:r>
        <w:rPr>
          <w:spacing w:val="-31"/>
        </w:rPr>
        <w:t xml:space="preserve">的 </w:t>
      </w:r>
      <w:r>
        <w:rPr>
          <w:spacing w:val="-9"/>
        </w:rPr>
        <w:t>102.73%</w:t>
      </w:r>
      <w:r>
        <w:rPr>
          <w:spacing w:val="-4"/>
        </w:rPr>
        <w:t xml:space="preserve">，主要是因为实际施工过程中部分工程措施的工程量各有增减， </w:t>
      </w:r>
      <w:r>
        <w:rPr>
          <w:spacing w:val="-3"/>
        </w:rPr>
        <w:t>尤其是彩条布有所增加，加上材料、人工费的上涨，故实际完成水保投资</w:t>
      </w:r>
      <w:r>
        <w:rPr>
          <w:spacing w:val="-12"/>
        </w:rPr>
        <w:t xml:space="preserve">略有增加。截至 </w:t>
      </w:r>
      <w:r>
        <w:t>2019</w:t>
      </w:r>
      <w:r>
        <w:rPr>
          <w:spacing w:val="-47"/>
        </w:rPr>
        <w:t xml:space="preserve"> 年 </w:t>
      </w:r>
      <w:r>
        <w:t>10</w:t>
      </w:r>
      <w:r>
        <w:rPr>
          <w:spacing w:val="-10"/>
        </w:rPr>
        <w:t xml:space="preserve"> 月，本项目实际完成水保措施工程量与水保方</w:t>
      </w:r>
      <w:r>
        <w:rPr>
          <w:spacing w:val="-9"/>
        </w:rPr>
        <w:t xml:space="preserve">案设计工程量比较情况详见下表 </w:t>
      </w:r>
      <w:r>
        <w:t>4-3。</w:t>
      </w:r>
    </w:p>
    <w:p>
      <w:pPr>
        <w:tabs>
          <w:tab w:val="left" w:pos="1384"/>
        </w:tabs>
        <w:spacing w:before="102"/>
        <w:ind w:left="0" w:right="113" w:firstLine="0"/>
        <w:jc w:val="center"/>
        <w:rPr>
          <w:rFonts w:hint="eastAsia" w:ascii="宋体" w:eastAsia="宋体"/>
          <w:b/>
          <w:sz w:val="24"/>
        </w:rPr>
      </w:pPr>
      <w:r>
        <w:rPr>
          <w:rFonts w:hint="eastAsia" w:ascii="宋体" w:eastAsia="宋体"/>
          <w:b/>
          <w:sz w:val="24"/>
        </w:rPr>
        <w:t>表</w:t>
      </w:r>
      <w:r>
        <w:rPr>
          <w:rFonts w:hint="eastAsia" w:ascii="宋体" w:eastAsia="宋体"/>
          <w:b/>
          <w:spacing w:val="-62"/>
          <w:sz w:val="24"/>
        </w:rPr>
        <w:t xml:space="preserve"> </w:t>
      </w:r>
      <w:r>
        <w:rPr>
          <w:rFonts w:hint="eastAsia" w:ascii="宋体" w:eastAsia="宋体"/>
          <w:b/>
          <w:sz w:val="24"/>
        </w:rPr>
        <w:t>4-3</w:t>
      </w:r>
      <w:r>
        <w:rPr>
          <w:rFonts w:hint="eastAsia" w:ascii="宋体" w:eastAsia="宋体"/>
          <w:b/>
          <w:sz w:val="24"/>
        </w:rPr>
        <w:tab/>
      </w:r>
      <w:r>
        <w:rPr>
          <w:rFonts w:hint="eastAsia" w:ascii="宋体" w:eastAsia="宋体"/>
          <w:b/>
          <w:sz w:val="24"/>
        </w:rPr>
        <w:t>水土保持措施主要工程量变化表</w:t>
      </w:r>
    </w:p>
    <w:p>
      <w:pPr>
        <w:pStyle w:val="4"/>
        <w:spacing w:before="3"/>
        <w:rPr>
          <w:rFonts w:ascii="宋体"/>
          <w:b/>
          <w:sz w:val="6"/>
        </w:rPr>
      </w:pPr>
    </w:p>
    <w:tbl>
      <w:tblPr>
        <w:tblStyle w:val="7"/>
        <w:tblW w:w="0" w:type="auto"/>
        <w:tblInd w:w="231"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456"/>
        <w:gridCol w:w="868"/>
        <w:gridCol w:w="1130"/>
        <w:gridCol w:w="1125"/>
        <w:gridCol w:w="134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3456" w:type="dxa"/>
            <w:vMerge w:val="restart"/>
            <w:tcBorders>
              <w:bottom w:val="single" w:color="000000" w:sz="4" w:space="0"/>
              <w:right w:val="single" w:color="000000" w:sz="4" w:space="0"/>
            </w:tcBorders>
          </w:tcPr>
          <w:p>
            <w:pPr>
              <w:pStyle w:val="11"/>
              <w:spacing w:before="2"/>
              <w:jc w:val="left"/>
              <w:rPr>
                <w:b/>
                <w:sz w:val="14"/>
              </w:rPr>
            </w:pPr>
          </w:p>
          <w:p>
            <w:pPr>
              <w:pStyle w:val="11"/>
              <w:spacing w:before="0"/>
              <w:ind w:left="867" w:right="845"/>
              <w:rPr>
                <w:b/>
                <w:sz w:val="21"/>
              </w:rPr>
            </w:pPr>
            <w:r>
              <w:rPr>
                <w:b/>
                <w:sz w:val="21"/>
              </w:rPr>
              <w:t>措施名称</w:t>
            </w:r>
          </w:p>
        </w:tc>
        <w:tc>
          <w:tcPr>
            <w:tcW w:w="868" w:type="dxa"/>
            <w:vMerge w:val="restart"/>
            <w:tcBorders>
              <w:left w:val="single" w:color="000000" w:sz="4" w:space="0"/>
              <w:bottom w:val="single" w:color="000000" w:sz="4" w:space="0"/>
              <w:right w:val="single" w:color="000000" w:sz="4" w:space="0"/>
            </w:tcBorders>
          </w:tcPr>
          <w:p>
            <w:pPr>
              <w:pStyle w:val="11"/>
              <w:spacing w:before="2"/>
              <w:jc w:val="left"/>
              <w:rPr>
                <w:b/>
                <w:sz w:val="14"/>
              </w:rPr>
            </w:pPr>
          </w:p>
          <w:p>
            <w:pPr>
              <w:pStyle w:val="11"/>
              <w:spacing w:before="0"/>
              <w:ind w:left="233"/>
              <w:jc w:val="left"/>
              <w:rPr>
                <w:b/>
                <w:sz w:val="21"/>
              </w:rPr>
            </w:pPr>
            <w:r>
              <w:rPr>
                <w:b/>
                <w:sz w:val="21"/>
              </w:rPr>
              <w:t>单位</w:t>
            </w:r>
          </w:p>
        </w:tc>
        <w:tc>
          <w:tcPr>
            <w:tcW w:w="2255" w:type="dxa"/>
            <w:gridSpan w:val="2"/>
            <w:tcBorders>
              <w:left w:val="single" w:color="000000" w:sz="4" w:space="0"/>
              <w:bottom w:val="single" w:color="000000" w:sz="4" w:space="0"/>
              <w:right w:val="single" w:color="000000" w:sz="4" w:space="0"/>
            </w:tcBorders>
          </w:tcPr>
          <w:p>
            <w:pPr>
              <w:pStyle w:val="11"/>
              <w:spacing w:before="20"/>
              <w:ind w:left="801" w:right="771"/>
              <w:rPr>
                <w:b/>
                <w:sz w:val="21"/>
              </w:rPr>
            </w:pPr>
            <w:r>
              <w:rPr>
                <w:b/>
                <w:sz w:val="21"/>
              </w:rPr>
              <w:t>工程量</w:t>
            </w:r>
          </w:p>
        </w:tc>
        <w:tc>
          <w:tcPr>
            <w:tcW w:w="1349" w:type="dxa"/>
            <w:vMerge w:val="restart"/>
            <w:tcBorders>
              <w:left w:val="single" w:color="000000" w:sz="4" w:space="0"/>
              <w:bottom w:val="single" w:color="000000" w:sz="4" w:space="0"/>
            </w:tcBorders>
          </w:tcPr>
          <w:p>
            <w:pPr>
              <w:pStyle w:val="11"/>
              <w:spacing w:before="2"/>
              <w:jc w:val="left"/>
              <w:rPr>
                <w:b/>
                <w:sz w:val="14"/>
              </w:rPr>
            </w:pPr>
          </w:p>
          <w:p>
            <w:pPr>
              <w:pStyle w:val="11"/>
              <w:spacing w:before="0"/>
              <w:ind w:left="264"/>
              <w:jc w:val="left"/>
              <w:rPr>
                <w:b/>
                <w:sz w:val="21"/>
              </w:rPr>
            </w:pPr>
            <w:r>
              <w:rPr>
                <w:b/>
                <w:sz w:val="21"/>
              </w:rPr>
              <w:t>增减情况</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3456" w:type="dxa"/>
            <w:vMerge w:val="continue"/>
            <w:tcBorders>
              <w:top w:val="nil"/>
              <w:bottom w:val="single" w:color="000000" w:sz="4" w:space="0"/>
              <w:right w:val="single" w:color="000000" w:sz="4" w:space="0"/>
            </w:tcBorders>
          </w:tcPr>
          <w:p>
            <w:pPr>
              <w:rPr>
                <w:sz w:val="2"/>
                <w:szCs w:val="2"/>
              </w:rPr>
            </w:pPr>
          </w:p>
        </w:tc>
        <w:tc>
          <w:tcPr>
            <w:tcW w:w="868" w:type="dxa"/>
            <w:vMerge w:val="continue"/>
            <w:tcBorders>
              <w:top w:val="nil"/>
              <w:left w:val="single" w:color="000000" w:sz="4" w:space="0"/>
              <w:bottom w:val="single" w:color="000000" w:sz="4" w:space="0"/>
              <w:right w:val="single" w:color="000000" w:sz="4" w:space="0"/>
            </w:tcBorders>
          </w:tcPr>
          <w:p>
            <w:pPr>
              <w:rPr>
                <w:sz w:val="2"/>
                <w:szCs w:val="2"/>
              </w:rPr>
            </w:pPr>
          </w:p>
        </w:tc>
        <w:tc>
          <w:tcPr>
            <w:tcW w:w="1130" w:type="dxa"/>
            <w:tcBorders>
              <w:top w:val="single" w:color="000000" w:sz="4" w:space="0"/>
              <w:left w:val="single" w:color="000000" w:sz="4" w:space="0"/>
              <w:bottom w:val="single" w:color="000000" w:sz="4" w:space="0"/>
              <w:right w:val="single" w:color="000000" w:sz="2" w:space="0"/>
            </w:tcBorders>
          </w:tcPr>
          <w:p>
            <w:pPr>
              <w:pStyle w:val="11"/>
              <w:spacing w:before="22"/>
              <w:ind w:right="336"/>
              <w:jc w:val="right"/>
              <w:rPr>
                <w:b/>
                <w:sz w:val="21"/>
              </w:rPr>
            </w:pPr>
            <w:r>
              <w:rPr>
                <w:b/>
                <w:w w:val="95"/>
                <w:sz w:val="21"/>
              </w:rPr>
              <w:t>设计</w:t>
            </w:r>
          </w:p>
        </w:tc>
        <w:tc>
          <w:tcPr>
            <w:tcW w:w="1125" w:type="dxa"/>
            <w:tcBorders>
              <w:top w:val="single" w:color="000000" w:sz="4" w:space="0"/>
              <w:left w:val="single" w:color="000000" w:sz="2" w:space="0"/>
              <w:bottom w:val="single" w:color="000000" w:sz="4" w:space="0"/>
              <w:right w:val="single" w:color="000000" w:sz="4" w:space="0"/>
            </w:tcBorders>
          </w:tcPr>
          <w:p>
            <w:pPr>
              <w:pStyle w:val="11"/>
              <w:spacing w:before="22"/>
              <w:ind w:right="331"/>
              <w:jc w:val="right"/>
              <w:rPr>
                <w:b/>
                <w:sz w:val="21"/>
              </w:rPr>
            </w:pPr>
            <w:r>
              <w:rPr>
                <w:b/>
                <w:w w:val="95"/>
                <w:sz w:val="21"/>
              </w:rPr>
              <w:t>施工</w:t>
            </w:r>
          </w:p>
        </w:tc>
        <w:tc>
          <w:tcPr>
            <w:tcW w:w="1349" w:type="dxa"/>
            <w:vMerge w:val="continue"/>
            <w:tcBorders>
              <w:top w:val="nil"/>
              <w:left w:val="single" w:color="000000" w:sz="4" w:space="0"/>
              <w:bottom w:val="single" w:color="000000" w:sz="4" w:space="0"/>
            </w:tcBorders>
          </w:tcPr>
          <w:p>
            <w:pPr>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3456" w:type="dxa"/>
            <w:tcBorders>
              <w:top w:val="single" w:color="000000" w:sz="4" w:space="0"/>
              <w:bottom w:val="single" w:color="000000" w:sz="4" w:space="0"/>
              <w:right w:val="single" w:color="000000" w:sz="4" w:space="0"/>
            </w:tcBorders>
          </w:tcPr>
          <w:p>
            <w:pPr>
              <w:pStyle w:val="11"/>
              <w:spacing w:before="60"/>
              <w:ind w:left="867" w:right="849"/>
              <w:rPr>
                <w:sz w:val="21"/>
              </w:rPr>
            </w:pPr>
            <w:r>
              <w:rPr>
                <w:sz w:val="21"/>
              </w:rPr>
              <w:t>沙袋拦挡</w:t>
            </w:r>
          </w:p>
        </w:tc>
        <w:tc>
          <w:tcPr>
            <w:tcW w:w="868" w:type="dxa"/>
            <w:tcBorders>
              <w:top w:val="single" w:color="000000" w:sz="4" w:space="0"/>
              <w:left w:val="single" w:color="000000" w:sz="4" w:space="0"/>
              <w:bottom w:val="single" w:color="000000" w:sz="4" w:space="0"/>
              <w:right w:val="single" w:color="000000" w:sz="4" w:space="0"/>
            </w:tcBorders>
          </w:tcPr>
          <w:p>
            <w:pPr>
              <w:pStyle w:val="11"/>
              <w:spacing w:before="62"/>
              <w:ind w:left="389"/>
              <w:jc w:val="left"/>
              <w:rPr>
                <w:sz w:val="21"/>
              </w:rPr>
            </w:pPr>
            <w:r>
              <w:rPr>
                <w:w w:val="99"/>
                <w:sz w:val="21"/>
              </w:rPr>
              <w:t>m</w:t>
            </w:r>
          </w:p>
        </w:tc>
        <w:tc>
          <w:tcPr>
            <w:tcW w:w="1130" w:type="dxa"/>
            <w:tcBorders>
              <w:top w:val="single" w:color="000000" w:sz="4" w:space="0"/>
              <w:left w:val="single" w:color="000000" w:sz="4" w:space="0"/>
              <w:bottom w:val="single" w:color="000000" w:sz="4" w:space="0"/>
              <w:right w:val="single" w:color="000000" w:sz="2" w:space="0"/>
            </w:tcBorders>
          </w:tcPr>
          <w:p>
            <w:pPr>
              <w:pStyle w:val="11"/>
              <w:spacing w:before="62"/>
              <w:ind w:right="335"/>
              <w:jc w:val="right"/>
              <w:rPr>
                <w:sz w:val="21"/>
              </w:rPr>
            </w:pPr>
            <w:r>
              <w:rPr>
                <w:sz w:val="21"/>
              </w:rPr>
              <w:t>3500</w:t>
            </w:r>
          </w:p>
        </w:tc>
        <w:tc>
          <w:tcPr>
            <w:tcW w:w="1125" w:type="dxa"/>
            <w:tcBorders>
              <w:top w:val="single" w:color="000000" w:sz="4" w:space="0"/>
              <w:left w:val="single" w:color="000000" w:sz="2" w:space="0"/>
              <w:bottom w:val="single" w:color="000000" w:sz="4" w:space="0"/>
              <w:right w:val="single" w:color="000000" w:sz="4" w:space="0"/>
            </w:tcBorders>
          </w:tcPr>
          <w:p>
            <w:pPr>
              <w:pStyle w:val="11"/>
              <w:spacing w:before="62"/>
              <w:ind w:right="329"/>
              <w:jc w:val="right"/>
              <w:rPr>
                <w:sz w:val="21"/>
              </w:rPr>
            </w:pPr>
            <w:r>
              <w:rPr>
                <w:sz w:val="21"/>
              </w:rPr>
              <w:t>3500</w:t>
            </w:r>
          </w:p>
        </w:tc>
        <w:tc>
          <w:tcPr>
            <w:tcW w:w="1349" w:type="dxa"/>
            <w:tcBorders>
              <w:top w:val="single" w:color="000000" w:sz="4" w:space="0"/>
              <w:left w:val="single" w:color="000000" w:sz="4" w:space="0"/>
              <w:bottom w:val="single" w:color="000000" w:sz="4" w:space="0"/>
            </w:tcBorders>
          </w:tcPr>
          <w:p>
            <w:pPr>
              <w:pStyle w:val="11"/>
              <w:spacing w:before="76"/>
              <w:ind w:left="37"/>
              <w:rPr>
                <w:rFonts w:ascii="Times New Roman"/>
                <w:sz w:val="21"/>
              </w:rPr>
            </w:pPr>
            <w:r>
              <w:rPr>
                <w:rFonts w:ascii="Times New Roman"/>
                <w:w w:val="99"/>
                <w:sz w:val="21"/>
              </w:rPr>
              <w:t>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3456" w:type="dxa"/>
            <w:tcBorders>
              <w:top w:val="single" w:color="000000" w:sz="4" w:space="0"/>
              <w:bottom w:val="single" w:color="000000" w:sz="4" w:space="0"/>
              <w:right w:val="single" w:color="000000" w:sz="4" w:space="0"/>
            </w:tcBorders>
          </w:tcPr>
          <w:p>
            <w:pPr>
              <w:pStyle w:val="11"/>
              <w:spacing w:before="61"/>
              <w:ind w:left="864" w:right="849"/>
              <w:rPr>
                <w:sz w:val="21"/>
              </w:rPr>
            </w:pPr>
            <w:r>
              <w:rPr>
                <w:sz w:val="21"/>
              </w:rPr>
              <w:t>集水井</w:t>
            </w:r>
          </w:p>
        </w:tc>
        <w:tc>
          <w:tcPr>
            <w:tcW w:w="868" w:type="dxa"/>
            <w:tcBorders>
              <w:top w:val="single" w:color="000000" w:sz="4" w:space="0"/>
              <w:left w:val="single" w:color="000000" w:sz="4" w:space="0"/>
              <w:bottom w:val="single" w:color="000000" w:sz="4" w:space="0"/>
              <w:right w:val="single" w:color="000000" w:sz="4" w:space="0"/>
            </w:tcBorders>
          </w:tcPr>
          <w:p>
            <w:pPr>
              <w:pStyle w:val="11"/>
              <w:spacing w:before="63"/>
              <w:ind w:left="338"/>
              <w:jc w:val="left"/>
              <w:rPr>
                <w:sz w:val="21"/>
              </w:rPr>
            </w:pPr>
            <w:r>
              <w:rPr>
                <w:w w:val="99"/>
                <w:sz w:val="21"/>
              </w:rPr>
              <w:t>座</w:t>
            </w:r>
          </w:p>
        </w:tc>
        <w:tc>
          <w:tcPr>
            <w:tcW w:w="1130" w:type="dxa"/>
            <w:tcBorders>
              <w:top w:val="single" w:color="000000" w:sz="4" w:space="0"/>
              <w:left w:val="single" w:color="000000" w:sz="4" w:space="0"/>
              <w:bottom w:val="single" w:color="000000" w:sz="4" w:space="0"/>
              <w:right w:val="single" w:color="000000" w:sz="2" w:space="0"/>
            </w:tcBorders>
          </w:tcPr>
          <w:p>
            <w:pPr>
              <w:pStyle w:val="11"/>
              <w:spacing w:before="63"/>
              <w:ind w:left="449" w:right="423"/>
              <w:rPr>
                <w:sz w:val="21"/>
              </w:rPr>
            </w:pPr>
            <w:r>
              <w:rPr>
                <w:sz w:val="21"/>
              </w:rPr>
              <w:t>60</w:t>
            </w:r>
          </w:p>
        </w:tc>
        <w:tc>
          <w:tcPr>
            <w:tcW w:w="1125" w:type="dxa"/>
            <w:tcBorders>
              <w:top w:val="single" w:color="000000" w:sz="4" w:space="0"/>
              <w:left w:val="single" w:color="000000" w:sz="2" w:space="0"/>
              <w:bottom w:val="single" w:color="000000" w:sz="4" w:space="0"/>
              <w:right w:val="single" w:color="000000" w:sz="4" w:space="0"/>
            </w:tcBorders>
          </w:tcPr>
          <w:p>
            <w:pPr>
              <w:pStyle w:val="11"/>
              <w:spacing w:before="63"/>
              <w:ind w:left="449" w:right="417"/>
              <w:rPr>
                <w:sz w:val="21"/>
              </w:rPr>
            </w:pPr>
            <w:r>
              <w:rPr>
                <w:sz w:val="21"/>
              </w:rPr>
              <w:t>56</w:t>
            </w:r>
          </w:p>
        </w:tc>
        <w:tc>
          <w:tcPr>
            <w:tcW w:w="1349" w:type="dxa"/>
            <w:tcBorders>
              <w:top w:val="single" w:color="000000" w:sz="4" w:space="0"/>
              <w:left w:val="single" w:color="000000" w:sz="4" w:space="0"/>
              <w:bottom w:val="single" w:color="000000" w:sz="4" w:space="0"/>
            </w:tcBorders>
          </w:tcPr>
          <w:p>
            <w:pPr>
              <w:pStyle w:val="11"/>
              <w:spacing w:before="77"/>
              <w:ind w:left="574" w:right="539"/>
              <w:rPr>
                <w:rFonts w:ascii="Times New Roman"/>
                <w:sz w:val="21"/>
              </w:rPr>
            </w:pPr>
            <w:r>
              <w:rPr>
                <w:rFonts w:ascii="Times New Roman"/>
                <w:sz w:val="21"/>
              </w:rPr>
              <w:t>-4</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6" w:hRule="atLeast"/>
        </w:trPr>
        <w:tc>
          <w:tcPr>
            <w:tcW w:w="3456" w:type="dxa"/>
            <w:tcBorders>
              <w:top w:val="single" w:color="000000" w:sz="4" w:space="0"/>
              <w:bottom w:val="single" w:color="000000" w:sz="4" w:space="0"/>
              <w:right w:val="single" w:color="000000" w:sz="4" w:space="0"/>
            </w:tcBorders>
          </w:tcPr>
          <w:p>
            <w:pPr>
              <w:pStyle w:val="11"/>
              <w:spacing w:before="60"/>
              <w:ind w:left="867" w:right="849"/>
              <w:rPr>
                <w:sz w:val="21"/>
              </w:rPr>
            </w:pPr>
            <w:r>
              <w:rPr>
                <w:sz w:val="21"/>
              </w:rPr>
              <w:t>移动沉砂池</w:t>
            </w:r>
          </w:p>
        </w:tc>
        <w:tc>
          <w:tcPr>
            <w:tcW w:w="868" w:type="dxa"/>
            <w:tcBorders>
              <w:top w:val="single" w:color="000000" w:sz="4" w:space="0"/>
              <w:left w:val="single" w:color="000000" w:sz="4" w:space="0"/>
              <w:bottom w:val="single" w:color="000000" w:sz="4" w:space="0"/>
              <w:right w:val="single" w:color="000000" w:sz="4" w:space="0"/>
            </w:tcBorders>
          </w:tcPr>
          <w:p>
            <w:pPr>
              <w:pStyle w:val="11"/>
              <w:spacing w:before="62"/>
              <w:ind w:left="338"/>
              <w:jc w:val="left"/>
              <w:rPr>
                <w:sz w:val="21"/>
              </w:rPr>
            </w:pPr>
            <w:r>
              <w:rPr>
                <w:w w:val="99"/>
                <w:sz w:val="21"/>
              </w:rPr>
              <w:t>座</w:t>
            </w:r>
          </w:p>
        </w:tc>
        <w:tc>
          <w:tcPr>
            <w:tcW w:w="1130" w:type="dxa"/>
            <w:tcBorders>
              <w:top w:val="single" w:color="000000" w:sz="4" w:space="0"/>
              <w:left w:val="single" w:color="000000" w:sz="4" w:space="0"/>
              <w:bottom w:val="single" w:color="000000" w:sz="4" w:space="0"/>
              <w:right w:val="single" w:color="000000" w:sz="2" w:space="0"/>
            </w:tcBorders>
          </w:tcPr>
          <w:p>
            <w:pPr>
              <w:pStyle w:val="11"/>
              <w:spacing w:before="62"/>
              <w:ind w:left="449" w:right="423"/>
              <w:rPr>
                <w:sz w:val="21"/>
              </w:rPr>
            </w:pPr>
            <w:r>
              <w:rPr>
                <w:sz w:val="21"/>
              </w:rPr>
              <w:t>15</w:t>
            </w:r>
          </w:p>
        </w:tc>
        <w:tc>
          <w:tcPr>
            <w:tcW w:w="1125" w:type="dxa"/>
            <w:tcBorders>
              <w:top w:val="single" w:color="000000" w:sz="4" w:space="0"/>
              <w:left w:val="single" w:color="000000" w:sz="2" w:space="0"/>
              <w:bottom w:val="single" w:color="000000" w:sz="4" w:space="0"/>
              <w:right w:val="single" w:color="000000" w:sz="4" w:space="0"/>
            </w:tcBorders>
          </w:tcPr>
          <w:p>
            <w:pPr>
              <w:pStyle w:val="11"/>
              <w:spacing w:before="62"/>
              <w:ind w:left="449" w:right="417"/>
              <w:rPr>
                <w:sz w:val="21"/>
              </w:rPr>
            </w:pPr>
            <w:r>
              <w:rPr>
                <w:sz w:val="21"/>
              </w:rPr>
              <w:t>15</w:t>
            </w:r>
          </w:p>
        </w:tc>
        <w:tc>
          <w:tcPr>
            <w:tcW w:w="1349" w:type="dxa"/>
            <w:tcBorders>
              <w:top w:val="single" w:color="000000" w:sz="4" w:space="0"/>
              <w:left w:val="single" w:color="000000" w:sz="4" w:space="0"/>
              <w:bottom w:val="single" w:color="000000" w:sz="4" w:space="0"/>
            </w:tcBorders>
          </w:tcPr>
          <w:p>
            <w:pPr>
              <w:pStyle w:val="11"/>
              <w:spacing w:before="76"/>
              <w:ind w:left="37"/>
              <w:rPr>
                <w:rFonts w:ascii="Times New Roman"/>
                <w:sz w:val="21"/>
              </w:rPr>
            </w:pPr>
            <w:r>
              <w:rPr>
                <w:rFonts w:ascii="Times New Roman"/>
                <w:w w:val="99"/>
                <w:sz w:val="21"/>
              </w:rPr>
              <w:t>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3456" w:type="dxa"/>
            <w:tcBorders>
              <w:top w:val="single" w:color="000000" w:sz="4" w:space="0"/>
              <w:bottom w:val="single" w:color="000000" w:sz="4" w:space="0"/>
              <w:right w:val="single" w:color="000000" w:sz="4" w:space="0"/>
            </w:tcBorders>
          </w:tcPr>
          <w:p>
            <w:pPr>
              <w:pStyle w:val="11"/>
              <w:spacing w:before="60"/>
              <w:ind w:left="867" w:right="849"/>
              <w:rPr>
                <w:sz w:val="21"/>
              </w:rPr>
            </w:pPr>
            <w:r>
              <w:rPr>
                <w:sz w:val="21"/>
              </w:rPr>
              <w:t>抽排水设备</w:t>
            </w:r>
          </w:p>
        </w:tc>
        <w:tc>
          <w:tcPr>
            <w:tcW w:w="868" w:type="dxa"/>
            <w:tcBorders>
              <w:top w:val="single" w:color="000000" w:sz="4" w:space="0"/>
              <w:left w:val="single" w:color="000000" w:sz="4" w:space="0"/>
              <w:bottom w:val="single" w:color="000000" w:sz="4" w:space="0"/>
              <w:right w:val="single" w:color="000000" w:sz="4" w:space="0"/>
            </w:tcBorders>
          </w:tcPr>
          <w:p>
            <w:pPr>
              <w:pStyle w:val="11"/>
              <w:spacing w:before="63"/>
              <w:ind w:left="338"/>
              <w:jc w:val="left"/>
              <w:rPr>
                <w:sz w:val="21"/>
              </w:rPr>
            </w:pPr>
            <w:r>
              <w:rPr>
                <w:w w:val="99"/>
                <w:sz w:val="21"/>
              </w:rPr>
              <w:t>套</w:t>
            </w:r>
          </w:p>
        </w:tc>
        <w:tc>
          <w:tcPr>
            <w:tcW w:w="1130" w:type="dxa"/>
            <w:tcBorders>
              <w:top w:val="single" w:color="000000" w:sz="4" w:space="0"/>
              <w:left w:val="single" w:color="000000" w:sz="4" w:space="0"/>
              <w:bottom w:val="single" w:color="000000" w:sz="4" w:space="0"/>
              <w:right w:val="single" w:color="000000" w:sz="2" w:space="0"/>
            </w:tcBorders>
          </w:tcPr>
          <w:p>
            <w:pPr>
              <w:pStyle w:val="11"/>
              <w:spacing w:before="63"/>
              <w:ind w:left="26"/>
              <w:rPr>
                <w:sz w:val="21"/>
              </w:rPr>
            </w:pPr>
            <w:r>
              <w:rPr>
                <w:w w:val="99"/>
                <w:sz w:val="21"/>
              </w:rPr>
              <w:t>5</w:t>
            </w:r>
          </w:p>
        </w:tc>
        <w:tc>
          <w:tcPr>
            <w:tcW w:w="1125" w:type="dxa"/>
            <w:tcBorders>
              <w:top w:val="single" w:color="000000" w:sz="4" w:space="0"/>
              <w:left w:val="single" w:color="000000" w:sz="2" w:space="0"/>
              <w:bottom w:val="single" w:color="000000" w:sz="4" w:space="0"/>
              <w:right w:val="single" w:color="000000" w:sz="4" w:space="0"/>
            </w:tcBorders>
          </w:tcPr>
          <w:p>
            <w:pPr>
              <w:pStyle w:val="11"/>
              <w:spacing w:before="63"/>
              <w:ind w:left="32"/>
              <w:rPr>
                <w:sz w:val="21"/>
              </w:rPr>
            </w:pPr>
            <w:r>
              <w:rPr>
                <w:w w:val="99"/>
                <w:sz w:val="21"/>
              </w:rPr>
              <w:t>5</w:t>
            </w:r>
          </w:p>
        </w:tc>
        <w:tc>
          <w:tcPr>
            <w:tcW w:w="1349" w:type="dxa"/>
            <w:tcBorders>
              <w:top w:val="single" w:color="000000" w:sz="4" w:space="0"/>
              <w:left w:val="single" w:color="000000" w:sz="4" w:space="0"/>
              <w:bottom w:val="single" w:color="000000" w:sz="4" w:space="0"/>
            </w:tcBorders>
          </w:tcPr>
          <w:p>
            <w:pPr>
              <w:pStyle w:val="11"/>
              <w:spacing w:before="77"/>
              <w:ind w:left="37"/>
              <w:rPr>
                <w:rFonts w:ascii="Times New Roman"/>
                <w:sz w:val="21"/>
              </w:rPr>
            </w:pPr>
            <w:r>
              <w:rPr>
                <w:rFonts w:ascii="Times New Roman"/>
                <w:w w:val="99"/>
                <w:sz w:val="21"/>
              </w:rPr>
              <w:t>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6" w:hRule="atLeast"/>
        </w:trPr>
        <w:tc>
          <w:tcPr>
            <w:tcW w:w="3456" w:type="dxa"/>
            <w:tcBorders>
              <w:top w:val="single" w:color="000000" w:sz="4" w:space="0"/>
              <w:bottom w:val="single" w:color="000000" w:sz="4" w:space="0"/>
              <w:right w:val="single" w:color="000000" w:sz="4" w:space="0"/>
            </w:tcBorders>
          </w:tcPr>
          <w:p>
            <w:pPr>
              <w:pStyle w:val="11"/>
              <w:spacing w:before="59"/>
              <w:ind w:left="867" w:right="849"/>
              <w:rPr>
                <w:sz w:val="21"/>
              </w:rPr>
            </w:pPr>
            <w:r>
              <w:rPr>
                <w:sz w:val="21"/>
              </w:rPr>
              <w:t>施工护栏</w:t>
            </w:r>
          </w:p>
        </w:tc>
        <w:tc>
          <w:tcPr>
            <w:tcW w:w="868" w:type="dxa"/>
            <w:tcBorders>
              <w:top w:val="single" w:color="000000" w:sz="4" w:space="0"/>
              <w:left w:val="single" w:color="000000" w:sz="4" w:space="0"/>
              <w:bottom w:val="single" w:color="000000" w:sz="4" w:space="0"/>
              <w:right w:val="single" w:color="000000" w:sz="4" w:space="0"/>
            </w:tcBorders>
          </w:tcPr>
          <w:p>
            <w:pPr>
              <w:pStyle w:val="11"/>
              <w:spacing w:before="64"/>
              <w:ind w:left="389"/>
              <w:jc w:val="left"/>
              <w:rPr>
                <w:sz w:val="21"/>
              </w:rPr>
            </w:pPr>
            <w:r>
              <w:rPr>
                <w:w w:val="99"/>
                <w:sz w:val="21"/>
              </w:rPr>
              <w:t>m</w:t>
            </w:r>
          </w:p>
        </w:tc>
        <w:tc>
          <w:tcPr>
            <w:tcW w:w="1130" w:type="dxa"/>
            <w:tcBorders>
              <w:top w:val="single" w:color="000000" w:sz="4" w:space="0"/>
              <w:left w:val="single" w:color="000000" w:sz="4" w:space="0"/>
              <w:bottom w:val="single" w:color="000000" w:sz="4" w:space="0"/>
              <w:right w:val="single" w:color="000000" w:sz="2" w:space="0"/>
            </w:tcBorders>
          </w:tcPr>
          <w:p>
            <w:pPr>
              <w:pStyle w:val="11"/>
              <w:spacing w:before="64"/>
              <w:ind w:right="335"/>
              <w:jc w:val="right"/>
              <w:rPr>
                <w:sz w:val="21"/>
              </w:rPr>
            </w:pPr>
            <w:r>
              <w:rPr>
                <w:sz w:val="21"/>
              </w:rPr>
              <w:t>6500</w:t>
            </w:r>
          </w:p>
        </w:tc>
        <w:tc>
          <w:tcPr>
            <w:tcW w:w="1125" w:type="dxa"/>
            <w:tcBorders>
              <w:top w:val="single" w:color="000000" w:sz="4" w:space="0"/>
              <w:left w:val="single" w:color="000000" w:sz="2" w:space="0"/>
              <w:bottom w:val="single" w:color="000000" w:sz="4" w:space="0"/>
              <w:right w:val="single" w:color="000000" w:sz="4" w:space="0"/>
            </w:tcBorders>
          </w:tcPr>
          <w:p>
            <w:pPr>
              <w:pStyle w:val="11"/>
              <w:spacing w:before="64"/>
              <w:ind w:right="329"/>
              <w:jc w:val="right"/>
              <w:rPr>
                <w:sz w:val="21"/>
              </w:rPr>
            </w:pPr>
            <w:r>
              <w:rPr>
                <w:sz w:val="21"/>
              </w:rPr>
              <w:t>6500</w:t>
            </w:r>
          </w:p>
        </w:tc>
        <w:tc>
          <w:tcPr>
            <w:tcW w:w="1349" w:type="dxa"/>
            <w:tcBorders>
              <w:top w:val="single" w:color="000000" w:sz="4" w:space="0"/>
              <w:left w:val="single" w:color="000000" w:sz="4" w:space="0"/>
              <w:bottom w:val="single" w:color="000000" w:sz="4" w:space="0"/>
            </w:tcBorders>
          </w:tcPr>
          <w:p>
            <w:pPr>
              <w:pStyle w:val="11"/>
              <w:spacing w:before="78"/>
              <w:ind w:left="37"/>
              <w:rPr>
                <w:rFonts w:ascii="Times New Roman"/>
                <w:sz w:val="21"/>
              </w:rPr>
            </w:pPr>
            <w:r>
              <w:rPr>
                <w:rFonts w:ascii="Times New Roman"/>
                <w:w w:val="99"/>
                <w:sz w:val="21"/>
              </w:rPr>
              <w:t>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3456" w:type="dxa"/>
            <w:tcBorders>
              <w:top w:val="single" w:color="000000" w:sz="4" w:space="0"/>
              <w:bottom w:val="single" w:color="000000" w:sz="4" w:space="0"/>
              <w:right w:val="single" w:color="000000" w:sz="4" w:space="0"/>
            </w:tcBorders>
          </w:tcPr>
          <w:p>
            <w:pPr>
              <w:pStyle w:val="11"/>
              <w:spacing w:before="60"/>
              <w:ind w:left="864" w:right="849"/>
              <w:rPr>
                <w:sz w:val="21"/>
              </w:rPr>
            </w:pPr>
            <w:r>
              <w:rPr>
                <w:sz w:val="21"/>
              </w:rPr>
              <w:t>彩条布</w:t>
            </w:r>
          </w:p>
        </w:tc>
        <w:tc>
          <w:tcPr>
            <w:tcW w:w="868" w:type="dxa"/>
            <w:tcBorders>
              <w:top w:val="single" w:color="000000" w:sz="4" w:space="0"/>
              <w:left w:val="single" w:color="000000" w:sz="4" w:space="0"/>
              <w:bottom w:val="single" w:color="000000" w:sz="4" w:space="0"/>
              <w:right w:val="single" w:color="000000" w:sz="4" w:space="0"/>
            </w:tcBorders>
          </w:tcPr>
          <w:p>
            <w:pPr>
              <w:pStyle w:val="11"/>
              <w:spacing w:before="67"/>
              <w:ind w:left="365"/>
              <w:jc w:val="left"/>
              <w:rPr>
                <w:sz w:val="10"/>
              </w:rPr>
            </w:pPr>
            <w:r>
              <w:rPr>
                <w:spacing w:val="-2"/>
                <w:w w:val="99"/>
                <w:position w:val="-10"/>
                <w:sz w:val="21"/>
              </w:rPr>
              <w:t>m</w:t>
            </w:r>
            <w:r>
              <w:rPr>
                <w:w w:val="106"/>
                <w:sz w:val="10"/>
              </w:rPr>
              <w:t>2</w:t>
            </w:r>
          </w:p>
        </w:tc>
        <w:tc>
          <w:tcPr>
            <w:tcW w:w="1130" w:type="dxa"/>
            <w:tcBorders>
              <w:top w:val="single" w:color="000000" w:sz="4" w:space="0"/>
              <w:left w:val="single" w:color="000000" w:sz="4" w:space="0"/>
              <w:bottom w:val="single" w:color="000000" w:sz="4" w:space="0"/>
              <w:right w:val="single" w:color="000000" w:sz="2" w:space="0"/>
            </w:tcBorders>
          </w:tcPr>
          <w:p>
            <w:pPr>
              <w:pStyle w:val="11"/>
              <w:spacing w:before="62"/>
              <w:ind w:right="335"/>
              <w:jc w:val="right"/>
              <w:rPr>
                <w:sz w:val="21"/>
              </w:rPr>
            </w:pPr>
            <w:r>
              <w:rPr>
                <w:sz w:val="21"/>
              </w:rPr>
              <w:t>9000</w:t>
            </w:r>
          </w:p>
        </w:tc>
        <w:tc>
          <w:tcPr>
            <w:tcW w:w="1125" w:type="dxa"/>
            <w:tcBorders>
              <w:top w:val="single" w:color="000000" w:sz="4" w:space="0"/>
              <w:left w:val="single" w:color="000000" w:sz="2" w:space="0"/>
              <w:bottom w:val="single" w:color="000000" w:sz="4" w:space="0"/>
              <w:right w:val="single" w:color="000000" w:sz="4" w:space="0"/>
            </w:tcBorders>
          </w:tcPr>
          <w:p>
            <w:pPr>
              <w:pStyle w:val="11"/>
              <w:spacing w:before="62"/>
              <w:ind w:right="279"/>
              <w:jc w:val="right"/>
              <w:rPr>
                <w:sz w:val="21"/>
              </w:rPr>
            </w:pPr>
            <w:r>
              <w:rPr>
                <w:w w:val="95"/>
                <w:sz w:val="21"/>
              </w:rPr>
              <w:t>12000</w:t>
            </w:r>
          </w:p>
        </w:tc>
        <w:tc>
          <w:tcPr>
            <w:tcW w:w="1349" w:type="dxa"/>
            <w:tcBorders>
              <w:top w:val="single" w:color="000000" w:sz="4" w:space="0"/>
              <w:left w:val="single" w:color="000000" w:sz="4" w:space="0"/>
              <w:bottom w:val="single" w:color="000000" w:sz="4" w:space="0"/>
            </w:tcBorders>
          </w:tcPr>
          <w:p>
            <w:pPr>
              <w:pStyle w:val="11"/>
              <w:spacing w:before="76"/>
              <w:ind w:right="372"/>
              <w:jc w:val="right"/>
              <w:rPr>
                <w:rFonts w:ascii="Times New Roman"/>
                <w:sz w:val="21"/>
              </w:rPr>
            </w:pPr>
            <w:r>
              <w:rPr>
                <w:rFonts w:ascii="Times New Roman"/>
                <w:w w:val="95"/>
                <w:sz w:val="21"/>
              </w:rPr>
              <w:t>+3000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3456" w:type="dxa"/>
            <w:tcBorders>
              <w:top w:val="single" w:color="000000" w:sz="4" w:space="0"/>
              <w:bottom w:val="single" w:color="000000" w:sz="4" w:space="0"/>
              <w:right w:val="single" w:color="000000" w:sz="4" w:space="0"/>
            </w:tcBorders>
          </w:tcPr>
          <w:p>
            <w:pPr>
              <w:pStyle w:val="11"/>
              <w:spacing w:before="59"/>
              <w:ind w:left="867" w:right="849"/>
              <w:rPr>
                <w:sz w:val="21"/>
              </w:rPr>
            </w:pPr>
            <w:r>
              <w:rPr>
                <w:sz w:val="21"/>
              </w:rPr>
              <w:t>高压水枪冲洗设施</w:t>
            </w:r>
          </w:p>
        </w:tc>
        <w:tc>
          <w:tcPr>
            <w:tcW w:w="868" w:type="dxa"/>
            <w:tcBorders>
              <w:top w:val="single" w:color="000000" w:sz="4" w:space="0"/>
              <w:left w:val="single" w:color="000000" w:sz="4" w:space="0"/>
              <w:bottom w:val="single" w:color="000000" w:sz="4" w:space="0"/>
              <w:right w:val="single" w:color="000000" w:sz="4" w:space="0"/>
            </w:tcBorders>
          </w:tcPr>
          <w:p>
            <w:pPr>
              <w:pStyle w:val="11"/>
              <w:spacing w:before="64"/>
              <w:ind w:left="338"/>
              <w:jc w:val="left"/>
              <w:rPr>
                <w:sz w:val="21"/>
              </w:rPr>
            </w:pPr>
            <w:r>
              <w:rPr>
                <w:w w:val="99"/>
                <w:sz w:val="21"/>
              </w:rPr>
              <w:t>套</w:t>
            </w:r>
          </w:p>
        </w:tc>
        <w:tc>
          <w:tcPr>
            <w:tcW w:w="1130" w:type="dxa"/>
            <w:tcBorders>
              <w:top w:val="single" w:color="000000" w:sz="4" w:space="0"/>
              <w:left w:val="single" w:color="000000" w:sz="4" w:space="0"/>
              <w:bottom w:val="single" w:color="000000" w:sz="4" w:space="0"/>
              <w:right w:val="single" w:color="000000" w:sz="2" w:space="0"/>
            </w:tcBorders>
          </w:tcPr>
          <w:p>
            <w:pPr>
              <w:pStyle w:val="11"/>
              <w:spacing w:before="64"/>
              <w:ind w:left="26"/>
              <w:rPr>
                <w:sz w:val="21"/>
              </w:rPr>
            </w:pPr>
            <w:r>
              <w:rPr>
                <w:w w:val="99"/>
                <w:sz w:val="21"/>
              </w:rPr>
              <w:t>5</w:t>
            </w:r>
          </w:p>
        </w:tc>
        <w:tc>
          <w:tcPr>
            <w:tcW w:w="1125" w:type="dxa"/>
            <w:tcBorders>
              <w:top w:val="single" w:color="000000" w:sz="4" w:space="0"/>
              <w:left w:val="single" w:color="000000" w:sz="2" w:space="0"/>
              <w:bottom w:val="single" w:color="000000" w:sz="4" w:space="0"/>
              <w:right w:val="single" w:color="000000" w:sz="4" w:space="0"/>
            </w:tcBorders>
          </w:tcPr>
          <w:p>
            <w:pPr>
              <w:pStyle w:val="11"/>
              <w:spacing w:before="64"/>
              <w:ind w:left="32"/>
              <w:rPr>
                <w:sz w:val="21"/>
              </w:rPr>
            </w:pPr>
            <w:r>
              <w:rPr>
                <w:w w:val="99"/>
                <w:sz w:val="21"/>
              </w:rPr>
              <w:t>5</w:t>
            </w:r>
          </w:p>
        </w:tc>
        <w:tc>
          <w:tcPr>
            <w:tcW w:w="1349" w:type="dxa"/>
            <w:tcBorders>
              <w:top w:val="single" w:color="000000" w:sz="4" w:space="0"/>
              <w:left w:val="single" w:color="000000" w:sz="4" w:space="0"/>
              <w:bottom w:val="single" w:color="000000" w:sz="4" w:space="0"/>
            </w:tcBorders>
          </w:tcPr>
          <w:p>
            <w:pPr>
              <w:pStyle w:val="11"/>
              <w:spacing w:before="77"/>
              <w:ind w:left="37"/>
              <w:rPr>
                <w:rFonts w:ascii="Times New Roman"/>
                <w:sz w:val="21"/>
              </w:rPr>
            </w:pPr>
            <w:r>
              <w:rPr>
                <w:rFonts w:ascii="Times New Roman"/>
                <w:w w:val="99"/>
                <w:sz w:val="21"/>
              </w:rPr>
              <w:t>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6" w:hRule="atLeast"/>
        </w:trPr>
        <w:tc>
          <w:tcPr>
            <w:tcW w:w="3456" w:type="dxa"/>
            <w:tcBorders>
              <w:top w:val="single" w:color="000000" w:sz="4" w:space="0"/>
              <w:right w:val="single" w:color="000000" w:sz="4" w:space="0"/>
            </w:tcBorders>
          </w:tcPr>
          <w:p>
            <w:pPr>
              <w:pStyle w:val="11"/>
              <w:spacing w:before="60"/>
              <w:ind w:left="867" w:right="849"/>
              <w:rPr>
                <w:sz w:val="21"/>
              </w:rPr>
            </w:pPr>
            <w:r>
              <w:rPr>
                <w:sz w:val="21"/>
              </w:rPr>
              <w:t>绿化带恢复</w:t>
            </w:r>
          </w:p>
        </w:tc>
        <w:tc>
          <w:tcPr>
            <w:tcW w:w="868" w:type="dxa"/>
            <w:tcBorders>
              <w:top w:val="single" w:color="000000" w:sz="4" w:space="0"/>
              <w:left w:val="single" w:color="000000" w:sz="4" w:space="0"/>
              <w:right w:val="single" w:color="000000" w:sz="4" w:space="0"/>
            </w:tcBorders>
          </w:tcPr>
          <w:p>
            <w:pPr>
              <w:pStyle w:val="11"/>
              <w:spacing w:before="59"/>
              <w:ind w:left="365"/>
              <w:jc w:val="left"/>
              <w:rPr>
                <w:sz w:val="10"/>
              </w:rPr>
            </w:pPr>
            <w:r>
              <w:rPr>
                <w:spacing w:val="-2"/>
                <w:w w:val="99"/>
                <w:position w:val="-9"/>
                <w:sz w:val="21"/>
              </w:rPr>
              <w:t>m</w:t>
            </w:r>
            <w:r>
              <w:rPr>
                <w:w w:val="106"/>
                <w:sz w:val="10"/>
              </w:rPr>
              <w:t>2</w:t>
            </w:r>
          </w:p>
        </w:tc>
        <w:tc>
          <w:tcPr>
            <w:tcW w:w="1130" w:type="dxa"/>
            <w:tcBorders>
              <w:top w:val="single" w:color="000000" w:sz="4" w:space="0"/>
              <w:left w:val="single" w:color="000000" w:sz="4" w:space="0"/>
              <w:right w:val="single" w:color="000000" w:sz="2" w:space="0"/>
            </w:tcBorders>
          </w:tcPr>
          <w:p>
            <w:pPr>
              <w:pStyle w:val="11"/>
              <w:spacing w:before="62"/>
              <w:ind w:right="388"/>
              <w:jc w:val="right"/>
              <w:rPr>
                <w:sz w:val="21"/>
              </w:rPr>
            </w:pPr>
            <w:r>
              <w:rPr>
                <w:sz w:val="21"/>
              </w:rPr>
              <w:t>370</w:t>
            </w:r>
          </w:p>
        </w:tc>
        <w:tc>
          <w:tcPr>
            <w:tcW w:w="1125" w:type="dxa"/>
            <w:tcBorders>
              <w:top w:val="single" w:color="000000" w:sz="4" w:space="0"/>
              <w:left w:val="single" w:color="000000" w:sz="2" w:space="0"/>
              <w:right w:val="single" w:color="000000" w:sz="4" w:space="0"/>
            </w:tcBorders>
          </w:tcPr>
          <w:p>
            <w:pPr>
              <w:pStyle w:val="11"/>
              <w:spacing w:before="62"/>
              <w:ind w:left="32"/>
              <w:rPr>
                <w:sz w:val="21"/>
              </w:rPr>
            </w:pPr>
            <w:r>
              <w:rPr>
                <w:w w:val="99"/>
                <w:sz w:val="21"/>
              </w:rPr>
              <w:t>0</w:t>
            </w:r>
          </w:p>
        </w:tc>
        <w:tc>
          <w:tcPr>
            <w:tcW w:w="1349" w:type="dxa"/>
            <w:tcBorders>
              <w:top w:val="single" w:color="000000" w:sz="4" w:space="0"/>
              <w:left w:val="single" w:color="000000" w:sz="4" w:space="0"/>
            </w:tcBorders>
          </w:tcPr>
          <w:p>
            <w:pPr>
              <w:pStyle w:val="11"/>
              <w:spacing w:before="76"/>
              <w:ind w:right="452"/>
              <w:jc w:val="right"/>
              <w:rPr>
                <w:rFonts w:ascii="Times New Roman"/>
                <w:sz w:val="21"/>
              </w:rPr>
            </w:pPr>
            <w:r>
              <w:rPr>
                <w:rFonts w:ascii="Times New Roman"/>
                <w:sz w:val="21"/>
              </w:rPr>
              <w:t>-370</w:t>
            </w:r>
          </w:p>
        </w:tc>
      </w:tr>
    </w:tbl>
    <w:p>
      <w:pPr>
        <w:pStyle w:val="4"/>
        <w:spacing w:before="10"/>
        <w:rPr>
          <w:rFonts w:ascii="宋体"/>
          <w:b/>
          <w:sz w:val="22"/>
        </w:rPr>
      </w:pPr>
    </w:p>
    <w:p>
      <w:pPr>
        <w:pStyle w:val="4"/>
        <w:spacing w:line="417" w:lineRule="auto"/>
        <w:ind w:left="111" w:right="243" w:firstLine="559"/>
        <w:jc w:val="both"/>
      </w:pPr>
      <w:r>
        <w:t>本项目施工期实际完成的水土保持措施工程量与批复的水土保持方案相比部分措施略有增减，主要原因为：水土保持方案是依据工程方案设计文件编制的，具体实施则是依据主体工程施工图，主体工程设计深度的不同导致水土保持措施的具体工程量在实施时发生了变化。</w:t>
      </w:r>
    </w:p>
    <w:p>
      <w:pPr>
        <w:spacing w:after="0" w:line="417" w:lineRule="auto"/>
        <w:jc w:val="both"/>
        <w:sectPr>
          <w:pgSz w:w="11910" w:h="16840"/>
          <w:pgMar w:top="1300" w:right="1160" w:bottom="1200" w:left="1420" w:header="878" w:footer="1005" w:gutter="0"/>
          <w:cols w:space="720" w:num="1"/>
        </w:sectPr>
      </w:pPr>
    </w:p>
    <w:p>
      <w:pPr>
        <w:pStyle w:val="4"/>
        <w:spacing w:before="7"/>
        <w:rPr>
          <w:sz w:val="8"/>
        </w:rPr>
      </w:pPr>
    </w:p>
    <w:p>
      <w:pPr>
        <w:pStyle w:val="2"/>
      </w:pPr>
      <w:bookmarkStart w:id="13" w:name="_TOC_250027"/>
      <w:bookmarkEnd w:id="13"/>
      <w:r>
        <w:t>五、水土保持工程质量评价</w:t>
      </w:r>
    </w:p>
    <w:p>
      <w:pPr>
        <w:pStyle w:val="4"/>
        <w:spacing w:before="12"/>
        <w:rPr>
          <w:rFonts w:ascii="黑体"/>
          <w:b/>
          <w:sz w:val="30"/>
        </w:rPr>
      </w:pPr>
    </w:p>
    <w:p>
      <w:pPr>
        <w:pStyle w:val="3"/>
        <w:spacing w:line="240" w:lineRule="auto"/>
        <w:ind w:left="668"/>
      </w:pPr>
      <w:bookmarkStart w:id="14" w:name="_TOC_250026"/>
      <w:r>
        <w:rPr>
          <w:sz w:val="30"/>
        </w:rPr>
        <w:t>1、</w:t>
      </w:r>
      <w:bookmarkEnd w:id="14"/>
      <w:r>
        <w:t>水土保持工程施工质量管理</w:t>
      </w:r>
    </w:p>
    <w:p>
      <w:pPr>
        <w:pStyle w:val="4"/>
        <w:spacing w:before="252" w:line="417" w:lineRule="auto"/>
        <w:ind w:left="111" w:right="241" w:firstLine="556"/>
        <w:jc w:val="both"/>
      </w:pPr>
      <w:r>
        <w:t>为保证水土保持工程的施工质量，在施工过程中，实行筹建指挥部全面负责，监理单位控制，设计、施工单位保证和政府部门监督相结合的质量管理体制，而且各参建单位都建立了确保工程质量要求的相关措施以及质量控制体系。</w:t>
      </w:r>
    </w:p>
    <w:p>
      <w:pPr>
        <w:pStyle w:val="4"/>
        <w:spacing w:line="358" w:lineRule="exact"/>
        <w:ind w:left="668"/>
      </w:pPr>
      <w:r>
        <w:t>（1）施工单位质量保证体系</w:t>
      </w:r>
    </w:p>
    <w:p>
      <w:pPr>
        <w:pStyle w:val="4"/>
        <w:spacing w:before="9"/>
        <w:rPr>
          <w:sz w:val="20"/>
        </w:rPr>
      </w:pPr>
    </w:p>
    <w:p>
      <w:pPr>
        <w:pStyle w:val="4"/>
        <w:spacing w:line="417" w:lineRule="auto"/>
        <w:ind w:left="111" w:right="242" w:firstLine="559"/>
      </w:pPr>
      <w:r>
        <w:rPr>
          <w:spacing w:val="-3"/>
        </w:rPr>
        <w:t>本项目水土保持工程的建设选择了实力雄厚、管理先进、施工经验丰</w:t>
      </w:r>
      <w:r>
        <w:rPr>
          <w:spacing w:val="-11"/>
        </w:rPr>
        <w:t xml:space="preserve">富、信誉良好的施工单位进行施工。各施工单位认真贯彻执行国务院 </w:t>
      </w:r>
      <w:r>
        <w:t>2000</w:t>
      </w:r>
    </w:p>
    <w:p>
      <w:pPr>
        <w:pStyle w:val="4"/>
        <w:spacing w:line="417" w:lineRule="auto"/>
        <w:ind w:left="111" w:right="102"/>
      </w:pPr>
      <w:r>
        <w:rPr>
          <w:spacing w:val="47"/>
        </w:rPr>
        <w:t>年</w:t>
      </w:r>
      <w:r>
        <w:t>1</w:t>
      </w:r>
      <w:r>
        <w:rPr>
          <w:spacing w:val="-22"/>
        </w:rPr>
        <w:t xml:space="preserve"> 月</w:t>
      </w:r>
      <w:r>
        <w:t>30</w:t>
      </w:r>
      <w:r>
        <w:rPr>
          <w:spacing w:val="-22"/>
        </w:rPr>
        <w:t xml:space="preserve"> 日</w:t>
      </w:r>
      <w:r>
        <w:t>279</w:t>
      </w:r>
      <w:r>
        <w:rPr>
          <w:spacing w:val="-18"/>
        </w:rPr>
        <w:t xml:space="preserve"> 号令以及国务院办公厅《关于加强基础设施工程质量管理》</w:t>
      </w:r>
      <w:r>
        <w:rPr>
          <w:spacing w:val="-6"/>
        </w:rPr>
        <w:t>的通知，实行工程质量终身负责制，层层落实、签订质量责任书，各自负</w:t>
      </w:r>
      <w:r>
        <w:rPr>
          <w:spacing w:val="-4"/>
        </w:rPr>
        <w:t>责，明确技术负责人及行政负责人接受业主、监理以及监督部门全方位、</w:t>
      </w:r>
      <w:r>
        <w:rPr>
          <w:spacing w:val="-17"/>
        </w:rPr>
        <w:t xml:space="preserve">全过程的监督。按照 </w:t>
      </w:r>
      <w:r>
        <w:t>ISO9001</w:t>
      </w:r>
      <w:r>
        <w:rPr>
          <w:spacing w:val="-1"/>
        </w:rPr>
        <w:t xml:space="preserve"> 或</w:t>
      </w:r>
      <w:r>
        <w:t>ISO9002</w:t>
      </w:r>
      <w:r>
        <w:rPr>
          <w:spacing w:val="-13"/>
        </w:rPr>
        <w:t xml:space="preserve"> 质量标准体系要求，把好质量关。</w:t>
      </w:r>
      <w:r>
        <w:rPr>
          <w:spacing w:val="-5"/>
        </w:rPr>
        <w:t>在工程质量管理措施上，认真抓好两个阶段的管理：</w:t>
      </w:r>
    </w:p>
    <w:p>
      <w:pPr>
        <w:pStyle w:val="10"/>
        <w:numPr>
          <w:ilvl w:val="0"/>
          <w:numId w:val="7"/>
        </w:numPr>
        <w:tabs>
          <w:tab w:val="left" w:pos="1373"/>
        </w:tabs>
        <w:spacing w:before="0" w:after="0" w:line="358" w:lineRule="exact"/>
        <w:ind w:left="1372" w:right="0" w:hanging="703"/>
        <w:jc w:val="left"/>
        <w:rPr>
          <w:sz w:val="28"/>
        </w:rPr>
      </w:pPr>
      <w:r>
        <w:rPr>
          <w:spacing w:val="-3"/>
          <w:sz w:val="28"/>
        </w:rPr>
        <w:t>施工准备阶段质量管理</w:t>
      </w:r>
    </w:p>
    <w:p>
      <w:pPr>
        <w:pStyle w:val="4"/>
        <w:spacing w:before="9"/>
        <w:rPr>
          <w:sz w:val="20"/>
        </w:rPr>
      </w:pPr>
    </w:p>
    <w:p>
      <w:pPr>
        <w:pStyle w:val="4"/>
        <w:spacing w:line="417" w:lineRule="auto"/>
        <w:ind w:left="111" w:right="243" w:firstLine="559"/>
      </w:pPr>
      <w:r>
        <w:rPr>
          <w:spacing w:val="-9"/>
        </w:rPr>
        <w:t>① 项目总工主持编写水土保持工程项目质量管理计划，由项目经理发</w:t>
      </w:r>
      <w:r>
        <w:rPr>
          <w:spacing w:val="-3"/>
        </w:rPr>
        <w:t>布实施；</w:t>
      </w:r>
    </w:p>
    <w:p>
      <w:pPr>
        <w:pStyle w:val="4"/>
        <w:spacing w:line="358" w:lineRule="exact"/>
        <w:ind w:left="670"/>
      </w:pPr>
      <w:r>
        <w:t>② 项目总工主持编制各单位工程作业的质量保证技术措施；</w:t>
      </w:r>
    </w:p>
    <w:p>
      <w:pPr>
        <w:pStyle w:val="4"/>
        <w:spacing w:before="9"/>
        <w:rPr>
          <w:sz w:val="20"/>
        </w:rPr>
      </w:pPr>
    </w:p>
    <w:p>
      <w:pPr>
        <w:pStyle w:val="4"/>
        <w:ind w:left="670"/>
      </w:pPr>
      <w:r>
        <w:t>③ 对施工人员进行技术交底工作；</w:t>
      </w:r>
    </w:p>
    <w:p>
      <w:pPr>
        <w:pStyle w:val="4"/>
        <w:spacing w:before="9"/>
        <w:rPr>
          <w:sz w:val="20"/>
        </w:rPr>
      </w:pPr>
    </w:p>
    <w:p>
      <w:pPr>
        <w:pStyle w:val="4"/>
        <w:ind w:left="670"/>
      </w:pPr>
      <w:r>
        <w:t>④ 根据工程施工特点，对主要技术工种进行技术再培训；</w:t>
      </w:r>
    </w:p>
    <w:p>
      <w:pPr>
        <w:pStyle w:val="4"/>
        <w:spacing w:before="9"/>
        <w:rPr>
          <w:sz w:val="20"/>
        </w:rPr>
      </w:pPr>
    </w:p>
    <w:p>
      <w:pPr>
        <w:pStyle w:val="4"/>
        <w:spacing w:line="417" w:lineRule="auto"/>
        <w:ind w:left="111" w:right="241" w:firstLine="559"/>
      </w:pPr>
      <w:r>
        <w:rPr>
          <w:spacing w:val="-12"/>
        </w:rPr>
        <w:t>⑤ 对试验设备、测量仪器、计量工器具精确度进行检验，以满足对水</w:t>
      </w:r>
      <w:r>
        <w:rPr>
          <w:spacing w:val="-5"/>
        </w:rPr>
        <w:t>土保持工程质量的检测需要。</w:t>
      </w:r>
    </w:p>
    <w:p>
      <w:pPr>
        <w:spacing w:after="0" w:line="417" w:lineRule="auto"/>
        <w:sectPr>
          <w:pgSz w:w="11910" w:h="16840"/>
          <w:pgMar w:top="1300" w:right="1160" w:bottom="1200" w:left="1420" w:header="878" w:footer="1005" w:gutter="0"/>
          <w:cols w:space="720" w:num="1"/>
        </w:sectPr>
      </w:pPr>
    </w:p>
    <w:p>
      <w:pPr>
        <w:pStyle w:val="4"/>
        <w:spacing w:before="4"/>
        <w:rPr>
          <w:sz w:val="9"/>
        </w:rPr>
      </w:pPr>
    </w:p>
    <w:p>
      <w:pPr>
        <w:pStyle w:val="10"/>
        <w:numPr>
          <w:ilvl w:val="0"/>
          <w:numId w:val="7"/>
        </w:numPr>
        <w:tabs>
          <w:tab w:val="left" w:pos="1373"/>
        </w:tabs>
        <w:spacing w:before="61" w:after="0" w:line="240" w:lineRule="auto"/>
        <w:ind w:left="1372" w:right="0" w:hanging="703"/>
        <w:jc w:val="left"/>
        <w:rPr>
          <w:sz w:val="28"/>
        </w:rPr>
      </w:pPr>
      <w:r>
        <w:rPr>
          <w:spacing w:val="-3"/>
          <w:sz w:val="28"/>
        </w:rPr>
        <w:t>施工过程中的质量管理</w:t>
      </w:r>
    </w:p>
    <w:p>
      <w:pPr>
        <w:pStyle w:val="4"/>
        <w:spacing w:before="9"/>
        <w:rPr>
          <w:sz w:val="20"/>
        </w:rPr>
      </w:pPr>
    </w:p>
    <w:p>
      <w:pPr>
        <w:pStyle w:val="4"/>
        <w:ind w:left="670"/>
      </w:pPr>
      <w:r>
        <w:t>① 严格按规程、规范、招标文件和设计图纸施工；</w:t>
      </w:r>
    </w:p>
    <w:p>
      <w:pPr>
        <w:pStyle w:val="4"/>
        <w:spacing w:before="9"/>
        <w:rPr>
          <w:sz w:val="20"/>
        </w:rPr>
      </w:pPr>
    </w:p>
    <w:p>
      <w:pPr>
        <w:pStyle w:val="4"/>
        <w:spacing w:line="417" w:lineRule="auto"/>
        <w:ind w:left="111" w:right="243" w:firstLine="559"/>
      </w:pPr>
      <w:r>
        <w:rPr>
          <w:spacing w:val="-8"/>
        </w:rPr>
        <w:t>② 项目部建立完整的水土保持工程施工质量保证组织体系，设立了专</w:t>
      </w:r>
      <w:r>
        <w:rPr>
          <w:spacing w:val="-3"/>
        </w:rPr>
        <w:t>职质检机构和人员，确保工程质量检验有序进行；</w:t>
      </w:r>
    </w:p>
    <w:p>
      <w:pPr>
        <w:pStyle w:val="4"/>
        <w:spacing w:line="417" w:lineRule="auto"/>
        <w:ind w:left="111" w:right="102" w:firstLine="559"/>
      </w:pPr>
      <w:r>
        <w:rPr>
          <w:spacing w:val="-15"/>
        </w:rPr>
        <w:t>③ 每单项工程开工前进行技术交底制度，明确施工方法、程序、进度、</w:t>
      </w:r>
      <w:r>
        <w:rPr>
          <w:spacing w:val="-5"/>
        </w:rPr>
        <w:t>质量及安全保证措施；</w:t>
      </w:r>
    </w:p>
    <w:p>
      <w:pPr>
        <w:pStyle w:val="4"/>
        <w:spacing w:line="417" w:lineRule="auto"/>
        <w:ind w:left="111" w:right="241" w:firstLine="559"/>
        <w:jc w:val="both"/>
      </w:pPr>
      <w:r>
        <w:rPr>
          <w:spacing w:val="-5"/>
          <w:w w:val="100"/>
        </w:rPr>
        <w:t>④在水土保持工程措施施工过程中实行“三检制</w:t>
      </w:r>
      <w:r>
        <w:rPr>
          <w:spacing w:val="-173"/>
          <w:w w:val="100"/>
        </w:rPr>
        <w:t>”</w:t>
      </w:r>
      <w:r>
        <w:rPr>
          <w:spacing w:val="-1"/>
          <w:w w:val="100"/>
        </w:rPr>
        <w:t>（</w:t>
      </w:r>
      <w:r>
        <w:rPr>
          <w:spacing w:val="-12"/>
          <w:w w:val="100"/>
        </w:rPr>
        <w:t>自检、互检、交接</w:t>
      </w:r>
      <w:r>
        <w:rPr>
          <w:spacing w:val="-1"/>
          <w:w w:val="100"/>
        </w:rPr>
        <w:t>检</w:t>
      </w:r>
      <w:r>
        <w:rPr>
          <w:spacing w:val="-142"/>
          <w:w w:val="100"/>
        </w:rPr>
        <w:t>）</w:t>
      </w:r>
      <w:r>
        <w:rPr>
          <w:spacing w:val="-50"/>
          <w:w w:val="100"/>
        </w:rPr>
        <w:t>、“三落实”</w:t>
      </w:r>
      <w:r>
        <w:rPr>
          <w:spacing w:val="-1"/>
          <w:w w:val="100"/>
        </w:rPr>
        <w:t>（</w:t>
      </w:r>
      <w:r>
        <w:rPr>
          <w:spacing w:val="-3"/>
          <w:w w:val="100"/>
        </w:rPr>
        <w:t>组织落实、制度落实、责任落实</w:t>
      </w:r>
      <w:r>
        <w:rPr>
          <w:spacing w:val="-142"/>
          <w:w w:val="100"/>
        </w:rPr>
        <w:t>）</w:t>
      </w:r>
      <w:r>
        <w:rPr>
          <w:spacing w:val="-43"/>
          <w:w w:val="100"/>
        </w:rPr>
        <w:t>、“三不放过”</w:t>
      </w:r>
      <w:r>
        <w:rPr>
          <w:spacing w:val="-1"/>
          <w:w w:val="100"/>
        </w:rPr>
        <w:t>（</w:t>
      </w:r>
      <w:r>
        <w:rPr>
          <w:spacing w:val="-2"/>
          <w:w w:val="100"/>
        </w:rPr>
        <w:t>事故原</w:t>
      </w:r>
      <w:r>
        <w:rPr>
          <w:spacing w:val="-3"/>
        </w:rPr>
        <w:t>因没有查清不放过、事故责任人没有受到教育不放过、事故预防措施不建</w:t>
      </w:r>
      <w:r>
        <w:rPr>
          <w:spacing w:val="-2"/>
          <w:w w:val="100"/>
        </w:rPr>
        <w:t>立不放过</w:t>
      </w:r>
      <w:r>
        <w:rPr>
          <w:spacing w:val="-142"/>
          <w:w w:val="100"/>
        </w:rPr>
        <w:t>）</w:t>
      </w:r>
      <w:r>
        <w:rPr>
          <w:spacing w:val="-3"/>
          <w:w w:val="100"/>
        </w:rPr>
        <w:t>，只有在每一道工序取得合格后方可进入下一道工序；</w:t>
      </w:r>
    </w:p>
    <w:p>
      <w:pPr>
        <w:pStyle w:val="4"/>
        <w:spacing w:line="417" w:lineRule="auto"/>
        <w:ind w:left="111" w:right="243" w:firstLine="559"/>
        <w:jc w:val="both"/>
      </w:pPr>
      <w:r>
        <w:rPr>
          <w:spacing w:val="-10"/>
        </w:rPr>
        <w:t>⑤ 建立工地试验室，加强原材料的检验与试验。凡不合格的材料、半</w:t>
      </w:r>
      <w:r>
        <w:rPr>
          <w:spacing w:val="-4"/>
        </w:rPr>
        <w:t>成品、成品都不得使用；</w:t>
      </w:r>
    </w:p>
    <w:p>
      <w:pPr>
        <w:pStyle w:val="4"/>
        <w:spacing w:line="417" w:lineRule="auto"/>
        <w:ind w:left="111" w:right="111" w:firstLine="559"/>
        <w:jc w:val="both"/>
      </w:pPr>
      <w:r>
        <w:rPr>
          <w:spacing w:val="-3"/>
        </w:rPr>
        <w:t>⑥ 对工程的关键部位、关键工序、隐蔽工程项目，设立专职质检员， 进行全过程的跟踪监督；</w:t>
      </w:r>
    </w:p>
    <w:p>
      <w:pPr>
        <w:pStyle w:val="4"/>
        <w:spacing w:line="417" w:lineRule="auto"/>
        <w:ind w:left="111" w:right="243" w:firstLine="559"/>
        <w:jc w:val="both"/>
      </w:pPr>
      <w:r>
        <w:rPr>
          <w:spacing w:val="-11"/>
        </w:rPr>
        <w:t>⑦ 对不重视质量、粗制滥造、弄虚作假的施工人员，质检人员有权要</w:t>
      </w:r>
      <w:r>
        <w:rPr>
          <w:spacing w:val="-5"/>
        </w:rPr>
        <w:t>求项目部给予严厉处理，并追究其相应的责任。</w:t>
      </w:r>
    </w:p>
    <w:p>
      <w:pPr>
        <w:pStyle w:val="4"/>
        <w:spacing w:line="417" w:lineRule="auto"/>
        <w:ind w:left="111" w:right="102" w:firstLine="556"/>
      </w:pPr>
      <w:r>
        <w:rPr>
          <w:spacing w:val="-3"/>
        </w:rPr>
        <w:t>总之，参加深圳市龙岗区龙城街道龙西社区雨污分流管网工程建设的</w:t>
      </w:r>
      <w:r>
        <w:rPr>
          <w:spacing w:val="-13"/>
        </w:rPr>
        <w:t xml:space="preserve">施工单位，由于建立健全了自身质量管理体制，制订了相应的措施和制度， </w:t>
      </w:r>
      <w:r>
        <w:rPr>
          <w:spacing w:val="-5"/>
        </w:rPr>
        <w:t>施工质量有保证。</w:t>
      </w:r>
    </w:p>
    <w:p>
      <w:pPr>
        <w:pStyle w:val="10"/>
        <w:numPr>
          <w:ilvl w:val="0"/>
          <w:numId w:val="8"/>
        </w:numPr>
        <w:tabs>
          <w:tab w:val="left" w:pos="1370"/>
        </w:tabs>
        <w:spacing w:before="0" w:after="0" w:line="358" w:lineRule="exact"/>
        <w:ind w:left="1370" w:right="0" w:hanging="702"/>
        <w:jc w:val="left"/>
        <w:rPr>
          <w:sz w:val="28"/>
        </w:rPr>
      </w:pPr>
      <w:r>
        <w:rPr>
          <w:spacing w:val="-3"/>
          <w:sz w:val="28"/>
        </w:rPr>
        <w:t>建设单位质量管理体系</w:t>
      </w:r>
    </w:p>
    <w:p>
      <w:pPr>
        <w:pStyle w:val="4"/>
        <w:spacing w:before="6"/>
        <w:rPr>
          <w:sz w:val="20"/>
        </w:rPr>
      </w:pPr>
    </w:p>
    <w:p>
      <w:pPr>
        <w:pStyle w:val="4"/>
        <w:spacing w:line="417" w:lineRule="auto"/>
        <w:ind w:left="111" w:right="111" w:firstLine="559"/>
      </w:pPr>
      <w:r>
        <w:rPr>
          <w:spacing w:val="-14"/>
          <w:w w:val="100"/>
        </w:rPr>
        <w:t>“质量是工程的生命”，建设单位始终把工程质量作为重中之重来抓，</w:t>
      </w:r>
      <w:r>
        <w:rPr>
          <w:spacing w:val="-6"/>
        </w:rPr>
        <w:t>实行全过程质量控制和监督。一是设立了工程技术处质量监督部专门对本</w:t>
      </w:r>
    </w:p>
    <w:p>
      <w:pPr>
        <w:spacing w:after="0" w:line="417" w:lineRule="auto"/>
        <w:sectPr>
          <w:pgSz w:w="11910" w:h="16840"/>
          <w:pgMar w:top="1300" w:right="1160" w:bottom="1200" w:left="1420" w:header="878" w:footer="1005" w:gutter="0"/>
          <w:cols w:space="720" w:num="1"/>
        </w:sectPr>
      </w:pPr>
    </w:p>
    <w:p>
      <w:pPr>
        <w:pStyle w:val="4"/>
        <w:spacing w:before="4"/>
        <w:rPr>
          <w:sz w:val="9"/>
        </w:rPr>
      </w:pPr>
    </w:p>
    <w:p>
      <w:pPr>
        <w:pStyle w:val="4"/>
        <w:spacing w:before="61" w:line="417" w:lineRule="auto"/>
        <w:ind w:left="111" w:right="241"/>
        <w:jc w:val="both"/>
      </w:pPr>
      <w:r>
        <w:rPr>
          <w:spacing w:val="-3"/>
        </w:rPr>
        <w:t>项目工程质量问题进行监管；二是制定了《深圳市龙岗区龙城街道龙西社</w:t>
      </w:r>
      <w:r>
        <w:rPr>
          <w:spacing w:val="-14"/>
        </w:rPr>
        <w:t>区雨污分流管网工程项目质量管理责任落实及追究办法》，明确施工、监理</w:t>
      </w:r>
      <w:r>
        <w:rPr>
          <w:spacing w:val="-3"/>
        </w:rPr>
        <w:t>及监理协调部在各项目、各环节的质量责任人，实行专职、专责、专人负责，实行责任追究；三是推动施工单位自检、监理单位抽检的质量管理进一步落到实处，将工作着力点前移到施工现场，加大巡查力度，严格处理施工中出现的质量问题；四是给予监理充分授权，充分调动监理参与管理的积极性，树立监理权威性，确保工程建设质量处于全面受控状态。</w:t>
      </w:r>
    </w:p>
    <w:p>
      <w:pPr>
        <w:pStyle w:val="4"/>
        <w:spacing w:line="417" w:lineRule="auto"/>
        <w:ind w:left="111" w:right="241" w:firstLine="556"/>
      </w:pPr>
      <w:r>
        <w:t>在水土保持工程建设过程中，严格实行项目法人制、招投标制、建设监理制和合同管理制，有力的推进了工程管理规范化、制度化。</w:t>
      </w:r>
    </w:p>
    <w:p>
      <w:pPr>
        <w:pStyle w:val="10"/>
        <w:numPr>
          <w:ilvl w:val="0"/>
          <w:numId w:val="8"/>
        </w:numPr>
        <w:tabs>
          <w:tab w:val="left" w:pos="1370"/>
        </w:tabs>
        <w:spacing w:before="0" w:after="0" w:line="358" w:lineRule="exact"/>
        <w:ind w:left="1370" w:right="0" w:hanging="702"/>
        <w:jc w:val="left"/>
        <w:rPr>
          <w:sz w:val="28"/>
        </w:rPr>
      </w:pPr>
      <w:r>
        <w:rPr>
          <w:spacing w:val="-3"/>
          <w:sz w:val="28"/>
        </w:rPr>
        <w:t>监理单位质量管理体系</w:t>
      </w:r>
    </w:p>
    <w:p>
      <w:pPr>
        <w:pStyle w:val="4"/>
        <w:spacing w:before="8"/>
        <w:rPr>
          <w:sz w:val="20"/>
        </w:rPr>
      </w:pPr>
    </w:p>
    <w:p>
      <w:pPr>
        <w:pStyle w:val="4"/>
        <w:spacing w:line="417" w:lineRule="auto"/>
        <w:ind w:left="111" w:right="111" w:firstLine="559"/>
      </w:pPr>
      <w:r>
        <w:rPr>
          <w:spacing w:val="-3"/>
        </w:rPr>
        <w:t>按照《监理合同》要求，监理单位主持编制了《深圳市龙岗区龙城街</w:t>
      </w:r>
      <w:r>
        <w:rPr>
          <w:spacing w:val="-10"/>
        </w:rPr>
        <w:t xml:space="preserve">道龙西社区雨污分流管网工程项目监理实施办法》，根据项目特点和要求， </w:t>
      </w:r>
      <w:r>
        <w:rPr>
          <w:spacing w:val="-5"/>
        </w:rPr>
        <w:t>本项目按总监理办公室和驻地监理办公室二级监理机构设置，总监理办公</w:t>
      </w:r>
      <w:r>
        <w:rPr>
          <w:spacing w:val="-3"/>
        </w:rPr>
        <w:t>室受业主工程管理部门委托，对项目监理进行协调管理，并对业主负责。</w:t>
      </w:r>
    </w:p>
    <w:p>
      <w:pPr>
        <w:pStyle w:val="4"/>
        <w:spacing w:line="417" w:lineRule="auto"/>
        <w:ind w:left="111" w:right="102" w:firstLine="559"/>
      </w:pPr>
      <w:r>
        <w:rPr>
          <w:spacing w:val="-3"/>
        </w:rPr>
        <w:t>根据《深圳市龙岗区龙城街道龙西社区雨污分流管网工程项目监理实</w:t>
      </w:r>
      <w:r>
        <w:rPr>
          <w:spacing w:val="-23"/>
        </w:rPr>
        <w:t xml:space="preserve">施办法》，编制了相关的监理实施细则，明确了本项目监理机构的组织形式， </w:t>
      </w:r>
      <w:r>
        <w:rPr>
          <w:spacing w:val="-8"/>
        </w:rPr>
        <w:t>规定了各级监理机构和监理人员职责，明确了监理工作内容以及具体的工</w:t>
      </w:r>
      <w:r>
        <w:rPr>
          <w:spacing w:val="-10"/>
        </w:rPr>
        <w:t>程质量控制目标、要求、内容、措施、方法等</w:t>
      </w:r>
      <w:r>
        <w:rPr>
          <w:spacing w:val="-19"/>
        </w:rPr>
        <w:t>。“监理实施细则”是指导本</w:t>
      </w:r>
      <w:r>
        <w:rPr>
          <w:spacing w:val="-7"/>
        </w:rPr>
        <w:t>项目监理工程师和驻地监理人员开展监理工作，进行“三控制、二管理、</w:t>
      </w:r>
      <w:r>
        <w:rPr>
          <w:spacing w:val="-3"/>
        </w:rPr>
        <w:t>一协调”的纲领性文件，保证了本项目各项监理工作有章可循。</w:t>
      </w:r>
    </w:p>
    <w:p>
      <w:pPr>
        <w:pStyle w:val="4"/>
        <w:spacing w:line="417" w:lineRule="auto"/>
        <w:ind w:left="111" w:right="241" w:firstLine="556"/>
      </w:pPr>
      <w:r>
        <w:t>监理工程师按照国家有关规定持证上岗，工程施工前先检查施工图纸是否符合规范，经过会审后才允许施工；工程建设中编制施工监理实施细</w:t>
      </w:r>
    </w:p>
    <w:p>
      <w:pPr>
        <w:spacing w:after="0" w:line="417" w:lineRule="auto"/>
        <w:sectPr>
          <w:pgSz w:w="11910" w:h="16840"/>
          <w:pgMar w:top="1300" w:right="1160" w:bottom="1200" w:left="1420" w:header="878" w:footer="1005" w:gutter="0"/>
          <w:cols w:space="720" w:num="1"/>
        </w:sectPr>
      </w:pPr>
    </w:p>
    <w:p>
      <w:pPr>
        <w:pStyle w:val="4"/>
        <w:spacing w:before="4"/>
        <w:rPr>
          <w:sz w:val="9"/>
        </w:rPr>
      </w:pPr>
    </w:p>
    <w:p>
      <w:pPr>
        <w:pStyle w:val="4"/>
        <w:spacing w:before="61" w:line="417" w:lineRule="auto"/>
        <w:ind w:left="111" w:right="102"/>
      </w:pPr>
      <w:r>
        <w:rPr>
          <w:spacing w:val="-3"/>
          <w:w w:val="100"/>
        </w:rPr>
        <w:t>则，规定重要施工项目必须编制施工方案或技术措施</w:t>
      </w:r>
      <w:r>
        <w:rPr>
          <w:spacing w:val="-1"/>
          <w:w w:val="100"/>
        </w:rPr>
        <w:t>（</w:t>
      </w:r>
      <w:r>
        <w:rPr>
          <w:spacing w:val="-3"/>
          <w:w w:val="100"/>
        </w:rPr>
        <w:t>施工作业指导书</w:t>
      </w:r>
      <w:r>
        <w:rPr>
          <w:spacing w:val="-142"/>
          <w:w w:val="100"/>
        </w:rPr>
        <w:t>）</w:t>
      </w:r>
      <w:r>
        <w:rPr>
          <w:w w:val="100"/>
        </w:rPr>
        <w:t>，</w:t>
      </w:r>
      <w:r>
        <w:rPr>
          <w:spacing w:val="-24"/>
          <w:w w:val="100"/>
        </w:rPr>
        <w:t>基本做到“凡事有章可循、凡事有人负责、凡事有人监督、凡事有据可查”；</w:t>
      </w:r>
      <w:r>
        <w:rPr>
          <w:spacing w:val="-8"/>
        </w:rPr>
        <w:t>严格施工结果的四级验收，是否达到设计意图或规范、验收的要求，注重</w:t>
      </w:r>
      <w:r>
        <w:rPr>
          <w:spacing w:val="-5"/>
        </w:rPr>
        <w:t>事前和过程控制，对隐蔽工程坚持连续旁站监督，以确保工程质量万无一失。</w:t>
      </w:r>
    </w:p>
    <w:p>
      <w:pPr>
        <w:pStyle w:val="10"/>
        <w:numPr>
          <w:ilvl w:val="0"/>
          <w:numId w:val="8"/>
        </w:numPr>
        <w:tabs>
          <w:tab w:val="left" w:pos="1370"/>
        </w:tabs>
        <w:spacing w:before="0" w:after="0" w:line="358" w:lineRule="exact"/>
        <w:ind w:left="1370" w:right="0" w:hanging="702"/>
        <w:jc w:val="left"/>
        <w:rPr>
          <w:sz w:val="28"/>
        </w:rPr>
      </w:pPr>
      <w:r>
        <w:rPr>
          <w:spacing w:val="-3"/>
          <w:sz w:val="28"/>
        </w:rPr>
        <w:t>施工事故及其处理</w:t>
      </w:r>
    </w:p>
    <w:p>
      <w:pPr>
        <w:pStyle w:val="4"/>
        <w:spacing w:before="9"/>
        <w:rPr>
          <w:sz w:val="20"/>
        </w:rPr>
      </w:pPr>
    </w:p>
    <w:p>
      <w:pPr>
        <w:pStyle w:val="4"/>
        <w:spacing w:line="417" w:lineRule="auto"/>
        <w:ind w:left="111" w:right="241" w:firstLine="556"/>
        <w:jc w:val="both"/>
      </w:pPr>
      <w:r>
        <w:t>由于建设单位、施工单位、监理单位和质量监督单位各司其职、各负其责，管理规范，要求严格，在本项目水土保持工程的实施过程中，未发生任何施工质量事故。</w:t>
      </w:r>
    </w:p>
    <w:p>
      <w:pPr>
        <w:pStyle w:val="3"/>
      </w:pPr>
      <w:bookmarkStart w:id="15" w:name="_TOC_250025"/>
      <w:bookmarkEnd w:id="15"/>
      <w:r>
        <w:t>2、水土保持工程质量评价</w:t>
      </w:r>
    </w:p>
    <w:p>
      <w:pPr>
        <w:pStyle w:val="4"/>
        <w:spacing w:before="9"/>
        <w:rPr>
          <w:b/>
          <w:sz w:val="20"/>
        </w:rPr>
      </w:pPr>
    </w:p>
    <w:p>
      <w:pPr>
        <w:pStyle w:val="10"/>
        <w:numPr>
          <w:ilvl w:val="0"/>
          <w:numId w:val="9"/>
        </w:numPr>
        <w:tabs>
          <w:tab w:val="left" w:pos="1094"/>
        </w:tabs>
        <w:spacing w:before="0" w:after="0" w:line="240" w:lineRule="auto"/>
        <w:ind w:left="1094" w:right="0" w:hanging="424"/>
        <w:jc w:val="left"/>
        <w:rPr>
          <w:sz w:val="28"/>
        </w:rPr>
      </w:pPr>
      <w:r>
        <w:rPr>
          <w:spacing w:val="-2"/>
          <w:sz w:val="28"/>
        </w:rPr>
        <w:t>项目划分</w:t>
      </w:r>
    </w:p>
    <w:p>
      <w:pPr>
        <w:pStyle w:val="4"/>
        <w:spacing w:before="9"/>
        <w:rPr>
          <w:sz w:val="20"/>
        </w:rPr>
      </w:pPr>
    </w:p>
    <w:p>
      <w:pPr>
        <w:pStyle w:val="4"/>
        <w:spacing w:line="417" w:lineRule="auto"/>
        <w:ind w:left="111" w:right="243" w:firstLine="559"/>
        <w:jc w:val="both"/>
      </w:pPr>
      <w:r>
        <w:t>深圳市龙岗区龙城街道龙西社区雨污分流管网工程项目划分是根据项目合同文件、施工监理质量保证资料和竣工图表资料以及相关技术标准， 项目划分按三级标准执行，即单位工程、分部工程和单元工程。</w:t>
      </w:r>
    </w:p>
    <w:p>
      <w:pPr>
        <w:pStyle w:val="4"/>
        <w:spacing w:line="417" w:lineRule="auto"/>
        <w:ind w:left="111" w:right="241" w:firstLine="556"/>
        <w:jc w:val="both"/>
      </w:pPr>
      <w:r>
        <w:t>本项目水土保持建设内容包括项目建设区的临时防护、拦挡及排水工程等。本项目的水保工程质量评定没有单独进行项目划分，临时覆盖、拦挡和排水等水土保持工程均纳入到主体工程的单位工程、分部工程及单元工程中参与评定。</w:t>
      </w:r>
    </w:p>
    <w:p>
      <w:pPr>
        <w:pStyle w:val="10"/>
        <w:numPr>
          <w:ilvl w:val="0"/>
          <w:numId w:val="9"/>
        </w:numPr>
        <w:tabs>
          <w:tab w:val="left" w:pos="1090"/>
        </w:tabs>
        <w:spacing w:before="0" w:after="0" w:line="358" w:lineRule="exact"/>
        <w:ind w:left="1089" w:right="0" w:hanging="422"/>
        <w:jc w:val="left"/>
        <w:rPr>
          <w:sz w:val="28"/>
        </w:rPr>
      </w:pPr>
      <w:r>
        <w:rPr>
          <w:spacing w:val="-2"/>
          <w:sz w:val="28"/>
        </w:rPr>
        <w:t>质量检验</w:t>
      </w:r>
    </w:p>
    <w:p>
      <w:pPr>
        <w:pStyle w:val="4"/>
        <w:spacing w:before="9"/>
        <w:rPr>
          <w:sz w:val="20"/>
        </w:rPr>
      </w:pPr>
    </w:p>
    <w:p>
      <w:pPr>
        <w:pStyle w:val="10"/>
        <w:numPr>
          <w:ilvl w:val="0"/>
          <w:numId w:val="10"/>
        </w:numPr>
        <w:tabs>
          <w:tab w:val="left" w:pos="1370"/>
        </w:tabs>
        <w:spacing w:before="0" w:after="0" w:line="240" w:lineRule="auto"/>
        <w:ind w:left="1370" w:right="0" w:hanging="702"/>
        <w:jc w:val="left"/>
        <w:rPr>
          <w:sz w:val="28"/>
        </w:rPr>
      </w:pPr>
      <w:r>
        <w:rPr>
          <w:spacing w:val="-2"/>
          <w:sz w:val="28"/>
        </w:rPr>
        <w:t>检验方法</w:t>
      </w:r>
    </w:p>
    <w:p>
      <w:pPr>
        <w:pStyle w:val="4"/>
        <w:spacing w:before="9"/>
        <w:rPr>
          <w:sz w:val="20"/>
        </w:rPr>
      </w:pPr>
    </w:p>
    <w:p>
      <w:pPr>
        <w:pStyle w:val="4"/>
        <w:spacing w:line="417" w:lineRule="auto"/>
        <w:ind w:left="111" w:right="243" w:firstLine="559"/>
      </w:pPr>
      <w:r>
        <w:t>本项目水土保持工程监理由深圳市深水水务咨询有限公司承担。为保证工程质量，监理单位和质量监督机构分别按事前控制、事中控制和事后</w:t>
      </w:r>
    </w:p>
    <w:p>
      <w:pPr>
        <w:spacing w:after="0" w:line="417" w:lineRule="auto"/>
        <w:sectPr>
          <w:pgSz w:w="11910" w:h="16840"/>
          <w:pgMar w:top="1300" w:right="1160" w:bottom="1200" w:left="1420" w:header="878" w:footer="1005" w:gutter="0"/>
          <w:cols w:space="720" w:num="1"/>
        </w:sectPr>
      </w:pPr>
    </w:p>
    <w:p>
      <w:pPr>
        <w:pStyle w:val="4"/>
        <w:spacing w:before="4"/>
        <w:rPr>
          <w:sz w:val="9"/>
        </w:rPr>
      </w:pPr>
    </w:p>
    <w:p>
      <w:pPr>
        <w:pStyle w:val="4"/>
        <w:spacing w:before="61" w:line="417" w:lineRule="auto"/>
        <w:ind w:left="111" w:right="102"/>
      </w:pPr>
      <w:r>
        <w:rPr>
          <w:spacing w:val="-12"/>
        </w:rPr>
        <w:t>控制三个阶段实话质量控制。监理工程师、质量监督机构在工程建设监理、</w:t>
      </w:r>
      <w:r>
        <w:rPr>
          <w:spacing w:val="-5"/>
        </w:rPr>
        <w:t>监督过程中，采用的质量检验方法如下：</w:t>
      </w:r>
    </w:p>
    <w:p>
      <w:pPr>
        <w:pStyle w:val="4"/>
        <w:spacing w:line="417" w:lineRule="auto"/>
        <w:ind w:left="111" w:right="111" w:firstLine="559"/>
      </w:pPr>
      <w:r>
        <w:t>① 原材料和中间产品：采用按批次随机柚样检测和仪器测量的方法， 对水泥、沙石骨料、钢筋、沙浆、砼等原材料和中间产品，主要是按批次进行随机柚样，样品（试块）送到监理总部下设的试验室或具有国家计量认证资质的检测机构进行试验检测。对块石料的尺寸、重量等采用仪器测量的方法进行检测。</w:t>
      </w:r>
    </w:p>
    <w:p>
      <w:pPr>
        <w:pStyle w:val="4"/>
        <w:spacing w:line="417" w:lineRule="auto"/>
        <w:ind w:left="111" w:right="243" w:firstLine="559"/>
        <w:jc w:val="both"/>
      </w:pPr>
      <w:r>
        <w:rPr>
          <w:spacing w:val="-13"/>
        </w:rPr>
        <w:t>② 成品：排水沟、沉沙池等工程措施在施工过程中，监理工程师不定</w:t>
      </w:r>
      <w:r>
        <w:rPr>
          <w:spacing w:val="-3"/>
        </w:rPr>
        <w:t>期地进行抽样检查，严格控制工程质量。监督部门派监督人员常驻工程施工现场巡视现场施工质量，并抽查工程施工质量，质量检验方法采用随机抽样检测法、目测法、仪器测量法等多种方法相结合，对工程质量进行检</w:t>
      </w:r>
      <w:r>
        <w:rPr>
          <w:spacing w:val="-2"/>
        </w:rPr>
        <w:t>查检验。</w:t>
      </w:r>
    </w:p>
    <w:p>
      <w:pPr>
        <w:pStyle w:val="10"/>
        <w:numPr>
          <w:ilvl w:val="0"/>
          <w:numId w:val="10"/>
        </w:numPr>
        <w:tabs>
          <w:tab w:val="left" w:pos="1370"/>
        </w:tabs>
        <w:spacing w:before="0" w:after="0" w:line="358" w:lineRule="exact"/>
        <w:ind w:left="1370" w:right="0" w:hanging="702"/>
        <w:jc w:val="left"/>
        <w:rPr>
          <w:sz w:val="28"/>
        </w:rPr>
      </w:pPr>
      <w:r>
        <w:rPr>
          <w:spacing w:val="-2"/>
          <w:sz w:val="28"/>
        </w:rPr>
        <w:t>检验结果</w:t>
      </w:r>
    </w:p>
    <w:p>
      <w:pPr>
        <w:pStyle w:val="4"/>
        <w:spacing w:before="8"/>
        <w:rPr>
          <w:sz w:val="20"/>
        </w:rPr>
      </w:pPr>
    </w:p>
    <w:p>
      <w:pPr>
        <w:pStyle w:val="4"/>
        <w:spacing w:line="417" w:lineRule="auto"/>
        <w:ind w:left="111" w:right="102" w:firstLine="559"/>
      </w:pPr>
      <w:r>
        <w:rPr>
          <w:spacing w:val="-3"/>
        </w:rPr>
        <w:t xml:space="preserve">经监理、监督部门检验，本工程水土保持措施原材料符合国家标准， </w:t>
      </w:r>
      <w:r>
        <w:rPr>
          <w:spacing w:val="-10"/>
        </w:rPr>
        <w:t>所检样品</w:t>
      </w:r>
      <w:r>
        <w:rPr>
          <w:spacing w:val="-3"/>
        </w:rPr>
        <w:t>（</w:t>
      </w:r>
      <w:r>
        <w:t>试块</w:t>
      </w:r>
      <w:r>
        <w:rPr>
          <w:spacing w:val="-34"/>
        </w:rPr>
        <w:t>）</w:t>
      </w:r>
      <w:r>
        <w:rPr>
          <w:spacing w:val="-9"/>
        </w:rPr>
        <w:t>达到规范要求，有关水土保持工程措施的厚度、平整度、</w:t>
      </w:r>
      <w:r>
        <w:rPr>
          <w:spacing w:val="-3"/>
        </w:rPr>
        <w:t>稳定性及其他检验参数达到设计、规范要求。</w:t>
      </w:r>
    </w:p>
    <w:p>
      <w:pPr>
        <w:tabs>
          <w:tab w:val="left" w:pos="1144"/>
        </w:tabs>
        <w:spacing w:before="102"/>
        <w:ind w:left="0" w:right="116" w:firstLine="0"/>
        <w:jc w:val="center"/>
        <w:rPr>
          <w:rFonts w:hint="eastAsia" w:ascii="宋体" w:eastAsia="宋体"/>
          <w:b/>
          <w:sz w:val="24"/>
        </w:rPr>
      </w:pPr>
      <w:r>
        <w:rPr>
          <w:rFonts w:hint="eastAsia" w:ascii="宋体" w:eastAsia="宋体"/>
          <w:b/>
          <w:sz w:val="24"/>
        </w:rPr>
        <w:t>表</w:t>
      </w:r>
      <w:r>
        <w:rPr>
          <w:rFonts w:hint="eastAsia" w:ascii="宋体" w:eastAsia="宋体"/>
          <w:b/>
          <w:spacing w:val="-62"/>
          <w:sz w:val="24"/>
        </w:rPr>
        <w:t xml:space="preserve"> </w:t>
      </w:r>
      <w:r>
        <w:rPr>
          <w:rFonts w:hint="eastAsia" w:ascii="宋体" w:eastAsia="宋体"/>
          <w:b/>
          <w:sz w:val="24"/>
        </w:rPr>
        <w:t>5-1</w:t>
      </w:r>
      <w:r>
        <w:rPr>
          <w:rFonts w:hint="eastAsia" w:ascii="宋体" w:eastAsia="宋体"/>
          <w:b/>
          <w:sz w:val="24"/>
        </w:rPr>
        <w:tab/>
      </w:r>
      <w:r>
        <w:rPr>
          <w:rFonts w:hint="eastAsia" w:ascii="宋体" w:eastAsia="宋体"/>
          <w:b/>
          <w:sz w:val="24"/>
        </w:rPr>
        <w:t>本项目水土保持工程质量评定表</w:t>
      </w:r>
    </w:p>
    <w:p>
      <w:pPr>
        <w:pStyle w:val="4"/>
        <w:spacing w:before="3"/>
        <w:rPr>
          <w:rFonts w:ascii="宋体"/>
          <w:b/>
          <w:sz w:val="6"/>
        </w:rPr>
      </w:pPr>
    </w:p>
    <w:tbl>
      <w:tblPr>
        <w:tblStyle w:val="7"/>
        <w:tblW w:w="0" w:type="auto"/>
        <w:tblInd w:w="308"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530"/>
        <w:gridCol w:w="1223"/>
        <w:gridCol w:w="685"/>
        <w:gridCol w:w="871"/>
        <w:gridCol w:w="792"/>
        <w:gridCol w:w="840"/>
        <w:gridCol w:w="960"/>
        <w:gridCol w:w="958"/>
        <w:gridCol w:w="810"/>
        <w:gridCol w:w="936"/>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530" w:type="dxa"/>
            <w:vMerge w:val="restart"/>
            <w:tcBorders>
              <w:bottom w:val="single" w:color="000000" w:sz="4" w:space="0"/>
              <w:right w:val="single" w:color="000000" w:sz="4" w:space="0"/>
            </w:tcBorders>
          </w:tcPr>
          <w:p>
            <w:pPr>
              <w:pStyle w:val="11"/>
              <w:spacing w:before="113" w:line="242" w:lineRule="auto"/>
              <w:ind w:left="175" w:right="152"/>
              <w:jc w:val="left"/>
              <w:rPr>
                <w:b/>
                <w:sz w:val="18"/>
              </w:rPr>
            </w:pPr>
            <w:r>
              <w:rPr>
                <w:b/>
                <w:sz w:val="18"/>
              </w:rPr>
              <w:t>序号</w:t>
            </w:r>
          </w:p>
        </w:tc>
        <w:tc>
          <w:tcPr>
            <w:tcW w:w="1223" w:type="dxa"/>
            <w:vMerge w:val="restart"/>
            <w:tcBorders>
              <w:left w:val="single" w:color="000000" w:sz="4" w:space="0"/>
              <w:bottom w:val="single" w:color="000000" w:sz="4" w:space="0"/>
              <w:right w:val="single" w:color="000000" w:sz="4" w:space="0"/>
            </w:tcBorders>
          </w:tcPr>
          <w:p>
            <w:pPr>
              <w:pStyle w:val="11"/>
              <w:spacing w:before="113" w:line="242" w:lineRule="auto"/>
              <w:ind w:left="440" w:right="228" w:hanging="180"/>
              <w:jc w:val="left"/>
              <w:rPr>
                <w:b/>
                <w:sz w:val="18"/>
              </w:rPr>
            </w:pPr>
            <w:r>
              <w:rPr>
                <w:b/>
                <w:sz w:val="18"/>
              </w:rPr>
              <w:t>分部工程名称</w:t>
            </w:r>
          </w:p>
        </w:tc>
        <w:tc>
          <w:tcPr>
            <w:tcW w:w="685" w:type="dxa"/>
            <w:vMerge w:val="restart"/>
            <w:tcBorders>
              <w:left w:val="single" w:color="000000" w:sz="4" w:space="0"/>
              <w:bottom w:val="single" w:color="000000" w:sz="4" w:space="0"/>
              <w:right w:val="single" w:color="000000" w:sz="4" w:space="0"/>
            </w:tcBorders>
          </w:tcPr>
          <w:p>
            <w:pPr>
              <w:pStyle w:val="11"/>
              <w:spacing w:before="113" w:line="242" w:lineRule="auto"/>
              <w:ind w:left="172" w:right="140"/>
              <w:jc w:val="left"/>
              <w:rPr>
                <w:b/>
                <w:sz w:val="18"/>
              </w:rPr>
            </w:pPr>
            <w:r>
              <w:rPr>
                <w:b/>
                <w:sz w:val="18"/>
              </w:rPr>
              <w:t>分项数量</w:t>
            </w:r>
          </w:p>
        </w:tc>
        <w:tc>
          <w:tcPr>
            <w:tcW w:w="1663" w:type="dxa"/>
            <w:gridSpan w:val="2"/>
            <w:tcBorders>
              <w:left w:val="single" w:color="000000" w:sz="4" w:space="0"/>
              <w:bottom w:val="single" w:color="000000" w:sz="4" w:space="0"/>
              <w:right w:val="single" w:color="000000" w:sz="4" w:space="0"/>
            </w:tcBorders>
          </w:tcPr>
          <w:p>
            <w:pPr>
              <w:pStyle w:val="11"/>
              <w:spacing w:before="55"/>
              <w:ind w:left="147"/>
              <w:jc w:val="left"/>
              <w:rPr>
                <w:b/>
                <w:sz w:val="18"/>
              </w:rPr>
            </w:pPr>
            <w:r>
              <w:rPr>
                <w:b/>
                <w:sz w:val="18"/>
              </w:rPr>
              <w:t>施工单位自评等级</w:t>
            </w:r>
          </w:p>
        </w:tc>
        <w:tc>
          <w:tcPr>
            <w:tcW w:w="1800" w:type="dxa"/>
            <w:gridSpan w:val="2"/>
            <w:tcBorders>
              <w:left w:val="single" w:color="000000" w:sz="4" w:space="0"/>
              <w:bottom w:val="single" w:color="000000" w:sz="4" w:space="0"/>
              <w:right w:val="single" w:color="000000" w:sz="4" w:space="0"/>
            </w:tcBorders>
          </w:tcPr>
          <w:p>
            <w:pPr>
              <w:pStyle w:val="11"/>
              <w:spacing w:before="55"/>
              <w:ind w:left="236"/>
              <w:jc w:val="left"/>
              <w:rPr>
                <w:b/>
                <w:sz w:val="18"/>
              </w:rPr>
            </w:pPr>
            <w:r>
              <w:rPr>
                <w:b/>
                <w:sz w:val="18"/>
              </w:rPr>
              <w:t>监理单位复核等级</w:t>
            </w:r>
          </w:p>
        </w:tc>
        <w:tc>
          <w:tcPr>
            <w:tcW w:w="1768" w:type="dxa"/>
            <w:gridSpan w:val="2"/>
            <w:tcBorders>
              <w:left w:val="single" w:color="000000" w:sz="4" w:space="0"/>
              <w:bottom w:val="single" w:color="000000" w:sz="4" w:space="0"/>
              <w:right w:val="single" w:color="000000" w:sz="4" w:space="0"/>
            </w:tcBorders>
          </w:tcPr>
          <w:p>
            <w:pPr>
              <w:pStyle w:val="11"/>
              <w:spacing w:before="55"/>
              <w:ind w:left="200"/>
              <w:jc w:val="left"/>
              <w:rPr>
                <w:b/>
                <w:sz w:val="18"/>
              </w:rPr>
            </w:pPr>
            <w:r>
              <w:rPr>
                <w:b/>
                <w:sz w:val="18"/>
              </w:rPr>
              <w:t>项目法人认定等级</w:t>
            </w:r>
          </w:p>
        </w:tc>
        <w:tc>
          <w:tcPr>
            <w:tcW w:w="936" w:type="dxa"/>
            <w:vMerge w:val="restart"/>
            <w:tcBorders>
              <w:left w:val="single" w:color="000000" w:sz="4" w:space="0"/>
              <w:bottom w:val="single" w:color="000000" w:sz="4" w:space="0"/>
            </w:tcBorders>
          </w:tcPr>
          <w:p>
            <w:pPr>
              <w:pStyle w:val="11"/>
              <w:spacing w:before="113" w:line="242" w:lineRule="auto"/>
              <w:ind w:left="131" w:right="60"/>
              <w:jc w:val="left"/>
              <w:rPr>
                <w:b/>
                <w:sz w:val="18"/>
              </w:rPr>
            </w:pPr>
            <w:r>
              <w:rPr>
                <w:b/>
                <w:sz w:val="18"/>
              </w:rPr>
              <w:t>质监机构核定等级</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530" w:type="dxa"/>
            <w:vMerge w:val="continue"/>
            <w:tcBorders>
              <w:top w:val="nil"/>
              <w:bottom w:val="single" w:color="000000" w:sz="4" w:space="0"/>
              <w:right w:val="single" w:color="000000" w:sz="4" w:space="0"/>
            </w:tcBorders>
          </w:tcPr>
          <w:p>
            <w:pPr>
              <w:rPr>
                <w:sz w:val="2"/>
                <w:szCs w:val="2"/>
              </w:rPr>
            </w:pPr>
          </w:p>
        </w:tc>
        <w:tc>
          <w:tcPr>
            <w:tcW w:w="1223" w:type="dxa"/>
            <w:vMerge w:val="continue"/>
            <w:tcBorders>
              <w:top w:val="nil"/>
              <w:left w:val="single" w:color="000000" w:sz="4" w:space="0"/>
              <w:bottom w:val="single" w:color="000000" w:sz="4" w:space="0"/>
              <w:right w:val="single" w:color="000000" w:sz="4" w:space="0"/>
            </w:tcBorders>
          </w:tcPr>
          <w:p>
            <w:pPr>
              <w:rPr>
                <w:sz w:val="2"/>
                <w:szCs w:val="2"/>
              </w:rPr>
            </w:pPr>
          </w:p>
        </w:tc>
        <w:tc>
          <w:tcPr>
            <w:tcW w:w="685" w:type="dxa"/>
            <w:vMerge w:val="continue"/>
            <w:tcBorders>
              <w:top w:val="nil"/>
              <w:left w:val="single" w:color="000000" w:sz="4" w:space="0"/>
              <w:bottom w:val="single" w:color="000000" w:sz="4" w:space="0"/>
              <w:right w:val="single" w:color="000000" w:sz="4" w:space="0"/>
            </w:tcBorders>
          </w:tcPr>
          <w:p>
            <w:pPr>
              <w:rPr>
                <w:sz w:val="2"/>
                <w:szCs w:val="2"/>
              </w:rPr>
            </w:pPr>
          </w:p>
        </w:tc>
        <w:tc>
          <w:tcPr>
            <w:tcW w:w="871" w:type="dxa"/>
            <w:tcBorders>
              <w:top w:val="single" w:color="000000" w:sz="4" w:space="0"/>
              <w:left w:val="single" w:color="000000" w:sz="4" w:space="0"/>
              <w:bottom w:val="single" w:color="000000" w:sz="4" w:space="0"/>
              <w:right w:val="single" w:color="000000" w:sz="4" w:space="0"/>
            </w:tcBorders>
          </w:tcPr>
          <w:p>
            <w:pPr>
              <w:pStyle w:val="11"/>
              <w:spacing w:before="55"/>
              <w:ind w:left="84" w:right="17"/>
              <w:rPr>
                <w:sz w:val="18"/>
              </w:rPr>
            </w:pPr>
            <w:r>
              <w:rPr>
                <w:sz w:val="18"/>
              </w:rPr>
              <w:t>合格分项</w:t>
            </w:r>
          </w:p>
        </w:tc>
        <w:tc>
          <w:tcPr>
            <w:tcW w:w="792" w:type="dxa"/>
            <w:tcBorders>
              <w:top w:val="single" w:color="000000" w:sz="4" w:space="0"/>
              <w:left w:val="single" w:color="000000" w:sz="4" w:space="0"/>
              <w:bottom w:val="single" w:color="000000" w:sz="4" w:space="0"/>
              <w:right w:val="single" w:color="000000" w:sz="4" w:space="0"/>
            </w:tcBorders>
          </w:tcPr>
          <w:p>
            <w:pPr>
              <w:pStyle w:val="11"/>
              <w:spacing w:before="55"/>
              <w:ind w:left="80" w:right="-29"/>
              <w:rPr>
                <w:sz w:val="18"/>
              </w:rPr>
            </w:pPr>
            <w:r>
              <w:rPr>
                <w:sz w:val="18"/>
              </w:rPr>
              <w:t>质量等级</w:t>
            </w:r>
          </w:p>
        </w:tc>
        <w:tc>
          <w:tcPr>
            <w:tcW w:w="840" w:type="dxa"/>
            <w:tcBorders>
              <w:top w:val="single" w:color="000000" w:sz="4" w:space="0"/>
              <w:left w:val="single" w:color="000000" w:sz="4" w:space="0"/>
              <w:bottom w:val="single" w:color="000000" w:sz="4" w:space="0"/>
              <w:right w:val="single" w:color="000000" w:sz="4" w:space="0"/>
            </w:tcBorders>
          </w:tcPr>
          <w:p>
            <w:pPr>
              <w:pStyle w:val="11"/>
              <w:spacing w:before="55"/>
              <w:ind w:left="88"/>
              <w:rPr>
                <w:sz w:val="18"/>
              </w:rPr>
            </w:pPr>
            <w:r>
              <w:rPr>
                <w:sz w:val="18"/>
              </w:rPr>
              <w:t>合格分项</w:t>
            </w:r>
          </w:p>
        </w:tc>
        <w:tc>
          <w:tcPr>
            <w:tcW w:w="960" w:type="dxa"/>
            <w:tcBorders>
              <w:top w:val="single" w:color="000000" w:sz="4" w:space="0"/>
              <w:left w:val="single" w:color="000000" w:sz="4" w:space="0"/>
              <w:bottom w:val="single" w:color="000000" w:sz="4" w:space="0"/>
              <w:right w:val="single" w:color="000000" w:sz="4" w:space="0"/>
            </w:tcBorders>
          </w:tcPr>
          <w:p>
            <w:pPr>
              <w:pStyle w:val="11"/>
              <w:spacing w:before="55"/>
              <w:ind w:left="92" w:right="97"/>
              <w:rPr>
                <w:sz w:val="18"/>
              </w:rPr>
            </w:pPr>
            <w:r>
              <w:rPr>
                <w:sz w:val="18"/>
              </w:rPr>
              <w:t>质量等级</w:t>
            </w:r>
          </w:p>
        </w:tc>
        <w:tc>
          <w:tcPr>
            <w:tcW w:w="958" w:type="dxa"/>
            <w:tcBorders>
              <w:top w:val="single" w:color="000000" w:sz="4" w:space="0"/>
              <w:left w:val="single" w:color="000000" w:sz="4" w:space="0"/>
              <w:bottom w:val="single" w:color="000000" w:sz="4" w:space="0"/>
              <w:right w:val="single" w:color="000000" w:sz="4" w:space="0"/>
            </w:tcBorders>
          </w:tcPr>
          <w:p>
            <w:pPr>
              <w:pStyle w:val="11"/>
              <w:spacing w:before="55"/>
              <w:ind w:left="120" w:right="68"/>
              <w:rPr>
                <w:sz w:val="18"/>
              </w:rPr>
            </w:pPr>
            <w:r>
              <w:rPr>
                <w:sz w:val="18"/>
              </w:rPr>
              <w:t>合格分项</w:t>
            </w:r>
          </w:p>
        </w:tc>
        <w:tc>
          <w:tcPr>
            <w:tcW w:w="810" w:type="dxa"/>
            <w:tcBorders>
              <w:top w:val="single" w:color="000000" w:sz="4" w:space="0"/>
              <w:left w:val="single" w:color="000000" w:sz="4" w:space="0"/>
              <w:bottom w:val="single" w:color="000000" w:sz="4" w:space="0"/>
              <w:right w:val="single" w:color="000000" w:sz="4" w:space="0"/>
            </w:tcBorders>
          </w:tcPr>
          <w:p>
            <w:pPr>
              <w:pStyle w:val="11"/>
              <w:spacing w:before="55"/>
              <w:ind w:left="26" w:right="14"/>
              <w:rPr>
                <w:sz w:val="18"/>
              </w:rPr>
            </w:pPr>
            <w:r>
              <w:rPr>
                <w:sz w:val="18"/>
              </w:rPr>
              <w:t>质量等级</w:t>
            </w:r>
          </w:p>
        </w:tc>
        <w:tc>
          <w:tcPr>
            <w:tcW w:w="936" w:type="dxa"/>
            <w:vMerge w:val="continue"/>
            <w:tcBorders>
              <w:top w:val="nil"/>
              <w:left w:val="single" w:color="000000" w:sz="4" w:space="0"/>
              <w:bottom w:val="single" w:color="000000" w:sz="4" w:space="0"/>
            </w:tcBorders>
          </w:tcPr>
          <w:p>
            <w:pPr>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6" w:hRule="atLeast"/>
        </w:trPr>
        <w:tc>
          <w:tcPr>
            <w:tcW w:w="530" w:type="dxa"/>
            <w:tcBorders>
              <w:top w:val="single" w:color="000000" w:sz="4" w:space="0"/>
              <w:bottom w:val="single" w:color="000000" w:sz="4" w:space="0"/>
              <w:right w:val="single" w:color="000000" w:sz="4" w:space="0"/>
            </w:tcBorders>
          </w:tcPr>
          <w:p>
            <w:pPr>
              <w:pStyle w:val="11"/>
              <w:spacing w:before="94"/>
              <w:ind w:left="16"/>
              <w:rPr>
                <w:rFonts w:ascii="Times New Roman"/>
                <w:sz w:val="18"/>
              </w:rPr>
            </w:pPr>
            <w:r>
              <w:rPr>
                <w:rFonts w:ascii="Times New Roman"/>
                <w:sz w:val="18"/>
              </w:rPr>
              <w:t>1</w:t>
            </w:r>
          </w:p>
        </w:tc>
        <w:tc>
          <w:tcPr>
            <w:tcW w:w="1223" w:type="dxa"/>
            <w:tcBorders>
              <w:top w:val="single" w:color="000000" w:sz="4" w:space="0"/>
              <w:left w:val="single" w:color="000000" w:sz="4" w:space="0"/>
              <w:bottom w:val="single" w:color="000000" w:sz="4" w:space="0"/>
              <w:right w:val="single" w:color="000000" w:sz="4" w:space="0"/>
            </w:tcBorders>
          </w:tcPr>
          <w:p>
            <w:pPr>
              <w:pStyle w:val="11"/>
              <w:ind w:left="149" w:right="122"/>
              <w:rPr>
                <w:sz w:val="18"/>
              </w:rPr>
            </w:pPr>
            <w:r>
              <w:rPr>
                <w:sz w:val="18"/>
              </w:rPr>
              <w:t>土方开挖</w:t>
            </w:r>
          </w:p>
        </w:tc>
        <w:tc>
          <w:tcPr>
            <w:tcW w:w="685" w:type="dxa"/>
            <w:tcBorders>
              <w:top w:val="single" w:color="000000" w:sz="4" w:space="0"/>
              <w:left w:val="single" w:color="000000" w:sz="4" w:space="0"/>
              <w:bottom w:val="single" w:color="000000" w:sz="4" w:space="0"/>
              <w:right w:val="single" w:color="000000" w:sz="4" w:space="0"/>
            </w:tcBorders>
          </w:tcPr>
          <w:p>
            <w:pPr>
              <w:pStyle w:val="11"/>
              <w:spacing w:before="94"/>
              <w:ind w:left="28"/>
              <w:rPr>
                <w:rFonts w:ascii="Times New Roman"/>
                <w:sz w:val="18"/>
              </w:rPr>
            </w:pPr>
            <w:r>
              <w:rPr>
                <w:rFonts w:ascii="Times New Roman"/>
                <w:sz w:val="18"/>
              </w:rPr>
              <w:t>5</w:t>
            </w:r>
          </w:p>
        </w:tc>
        <w:tc>
          <w:tcPr>
            <w:tcW w:w="871" w:type="dxa"/>
            <w:tcBorders>
              <w:top w:val="single" w:color="000000" w:sz="4" w:space="0"/>
              <w:left w:val="single" w:color="000000" w:sz="4" w:space="0"/>
              <w:bottom w:val="single" w:color="000000" w:sz="4" w:space="0"/>
              <w:right w:val="single" w:color="000000" w:sz="4" w:space="0"/>
            </w:tcBorders>
          </w:tcPr>
          <w:p>
            <w:pPr>
              <w:pStyle w:val="11"/>
              <w:spacing w:before="94"/>
              <w:ind w:left="27"/>
              <w:rPr>
                <w:rFonts w:ascii="Times New Roman"/>
                <w:sz w:val="18"/>
              </w:rPr>
            </w:pPr>
            <w:r>
              <w:rPr>
                <w:rFonts w:ascii="Times New Roman"/>
                <w:sz w:val="18"/>
              </w:rPr>
              <w:t>5</w:t>
            </w:r>
          </w:p>
        </w:tc>
        <w:tc>
          <w:tcPr>
            <w:tcW w:w="792" w:type="dxa"/>
            <w:tcBorders>
              <w:top w:val="single" w:color="000000" w:sz="4" w:space="0"/>
              <w:left w:val="single" w:color="000000" w:sz="4" w:space="0"/>
              <w:bottom w:val="single" w:color="000000" w:sz="4" w:space="0"/>
              <w:right w:val="single" w:color="000000" w:sz="4" w:space="0"/>
            </w:tcBorders>
          </w:tcPr>
          <w:p>
            <w:pPr>
              <w:pStyle w:val="11"/>
              <w:ind w:left="80" w:right="54"/>
              <w:rPr>
                <w:sz w:val="18"/>
              </w:rPr>
            </w:pPr>
            <w:r>
              <w:rPr>
                <w:sz w:val="18"/>
              </w:rPr>
              <w:t>合格</w:t>
            </w:r>
          </w:p>
        </w:tc>
        <w:tc>
          <w:tcPr>
            <w:tcW w:w="840" w:type="dxa"/>
            <w:tcBorders>
              <w:top w:val="single" w:color="000000" w:sz="4" w:space="0"/>
              <w:left w:val="single" w:color="000000" w:sz="4" w:space="0"/>
              <w:bottom w:val="single" w:color="000000" w:sz="4" w:space="0"/>
              <w:right w:val="single" w:color="000000" w:sz="4" w:space="0"/>
            </w:tcBorders>
          </w:tcPr>
          <w:p>
            <w:pPr>
              <w:pStyle w:val="11"/>
              <w:spacing w:before="94"/>
              <w:ind w:left="30"/>
              <w:rPr>
                <w:rFonts w:ascii="Times New Roman"/>
                <w:sz w:val="18"/>
              </w:rPr>
            </w:pPr>
            <w:r>
              <w:rPr>
                <w:rFonts w:ascii="Times New Roman"/>
                <w:sz w:val="18"/>
              </w:rPr>
              <w:t>5</w:t>
            </w:r>
          </w:p>
        </w:tc>
        <w:tc>
          <w:tcPr>
            <w:tcW w:w="960" w:type="dxa"/>
            <w:tcBorders>
              <w:top w:val="single" w:color="000000" w:sz="4" w:space="0"/>
              <w:left w:val="single" w:color="000000" w:sz="4" w:space="0"/>
              <w:bottom w:val="single" w:color="000000" w:sz="4" w:space="0"/>
              <w:right w:val="single" w:color="000000" w:sz="4" w:space="0"/>
            </w:tcBorders>
          </w:tcPr>
          <w:p>
            <w:pPr>
              <w:pStyle w:val="11"/>
              <w:ind w:left="92" w:right="66"/>
              <w:rPr>
                <w:sz w:val="18"/>
              </w:rPr>
            </w:pPr>
            <w:r>
              <w:rPr>
                <w:sz w:val="18"/>
              </w:rPr>
              <w:t>合格</w:t>
            </w:r>
          </w:p>
        </w:tc>
        <w:tc>
          <w:tcPr>
            <w:tcW w:w="958" w:type="dxa"/>
            <w:tcBorders>
              <w:top w:val="single" w:color="000000" w:sz="4" w:space="0"/>
              <w:left w:val="single" w:color="000000" w:sz="4" w:space="0"/>
              <w:bottom w:val="single" w:color="000000" w:sz="4" w:space="0"/>
              <w:right w:val="single" w:color="000000" w:sz="4" w:space="0"/>
            </w:tcBorders>
          </w:tcPr>
          <w:p>
            <w:pPr>
              <w:pStyle w:val="11"/>
              <w:spacing w:before="94"/>
              <w:ind w:left="27"/>
              <w:rPr>
                <w:rFonts w:ascii="Times New Roman"/>
                <w:sz w:val="18"/>
              </w:rPr>
            </w:pPr>
            <w:r>
              <w:rPr>
                <w:rFonts w:ascii="Times New Roman"/>
                <w:sz w:val="18"/>
              </w:rPr>
              <w:t>5</w:t>
            </w:r>
          </w:p>
        </w:tc>
        <w:tc>
          <w:tcPr>
            <w:tcW w:w="810" w:type="dxa"/>
            <w:tcBorders>
              <w:top w:val="single" w:color="000000" w:sz="4" w:space="0"/>
              <w:left w:val="single" w:color="000000" w:sz="4" w:space="0"/>
              <w:bottom w:val="single" w:color="000000" w:sz="4" w:space="0"/>
              <w:right w:val="single" w:color="000000" w:sz="4" w:space="0"/>
            </w:tcBorders>
          </w:tcPr>
          <w:p>
            <w:pPr>
              <w:pStyle w:val="11"/>
              <w:ind w:left="40" w:right="14"/>
              <w:rPr>
                <w:sz w:val="18"/>
              </w:rPr>
            </w:pPr>
            <w:r>
              <w:rPr>
                <w:sz w:val="18"/>
              </w:rPr>
              <w:t>合格</w:t>
            </w:r>
          </w:p>
        </w:tc>
        <w:tc>
          <w:tcPr>
            <w:tcW w:w="936" w:type="dxa"/>
            <w:tcBorders>
              <w:top w:val="single" w:color="000000" w:sz="4" w:space="0"/>
              <w:left w:val="single" w:color="000000" w:sz="4" w:space="0"/>
              <w:bottom w:val="single" w:color="000000" w:sz="4" w:space="0"/>
            </w:tcBorders>
          </w:tcPr>
          <w:p>
            <w:pPr>
              <w:pStyle w:val="11"/>
              <w:ind w:left="277" w:right="239"/>
              <w:rPr>
                <w:sz w:val="18"/>
              </w:rPr>
            </w:pPr>
            <w:r>
              <w:rPr>
                <w:sz w:val="18"/>
              </w:rPr>
              <w:t>合格</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530" w:type="dxa"/>
            <w:tcBorders>
              <w:top w:val="single" w:color="000000" w:sz="4" w:space="0"/>
              <w:bottom w:val="single" w:color="000000" w:sz="4" w:space="0"/>
              <w:right w:val="single" w:color="000000" w:sz="4" w:space="0"/>
            </w:tcBorders>
          </w:tcPr>
          <w:p>
            <w:pPr>
              <w:pStyle w:val="11"/>
              <w:spacing w:before="95"/>
              <w:ind w:left="16"/>
              <w:rPr>
                <w:rFonts w:ascii="Times New Roman"/>
                <w:sz w:val="18"/>
              </w:rPr>
            </w:pPr>
            <w:r>
              <w:rPr>
                <w:rFonts w:ascii="Times New Roman"/>
                <w:sz w:val="18"/>
              </w:rPr>
              <w:t>2</w:t>
            </w:r>
          </w:p>
        </w:tc>
        <w:tc>
          <w:tcPr>
            <w:tcW w:w="1223" w:type="dxa"/>
            <w:tcBorders>
              <w:top w:val="single" w:color="000000" w:sz="4" w:space="0"/>
              <w:left w:val="single" w:color="000000" w:sz="4" w:space="0"/>
              <w:bottom w:val="single" w:color="000000" w:sz="4" w:space="0"/>
              <w:right w:val="single" w:color="000000" w:sz="4" w:space="0"/>
            </w:tcBorders>
          </w:tcPr>
          <w:p>
            <w:pPr>
              <w:pStyle w:val="11"/>
              <w:spacing w:before="83"/>
              <w:ind w:left="151" w:right="36"/>
              <w:rPr>
                <w:sz w:val="18"/>
              </w:rPr>
            </w:pPr>
            <w:r>
              <w:rPr>
                <w:sz w:val="18"/>
              </w:rPr>
              <w:t>砼垫层</w:t>
            </w:r>
          </w:p>
        </w:tc>
        <w:tc>
          <w:tcPr>
            <w:tcW w:w="685" w:type="dxa"/>
            <w:tcBorders>
              <w:top w:val="single" w:color="000000" w:sz="4" w:space="0"/>
              <w:left w:val="single" w:color="000000" w:sz="4" w:space="0"/>
              <w:bottom w:val="single" w:color="000000" w:sz="4" w:space="0"/>
              <w:right w:val="single" w:color="000000" w:sz="4" w:space="0"/>
            </w:tcBorders>
          </w:tcPr>
          <w:p>
            <w:pPr>
              <w:pStyle w:val="11"/>
              <w:spacing w:before="95"/>
              <w:ind w:left="28"/>
              <w:rPr>
                <w:rFonts w:ascii="Times New Roman"/>
                <w:sz w:val="18"/>
              </w:rPr>
            </w:pPr>
            <w:r>
              <w:rPr>
                <w:rFonts w:ascii="Times New Roman"/>
                <w:sz w:val="18"/>
              </w:rPr>
              <w:t>4</w:t>
            </w:r>
          </w:p>
        </w:tc>
        <w:tc>
          <w:tcPr>
            <w:tcW w:w="871" w:type="dxa"/>
            <w:tcBorders>
              <w:top w:val="single" w:color="000000" w:sz="4" w:space="0"/>
              <w:left w:val="single" w:color="000000" w:sz="4" w:space="0"/>
              <w:bottom w:val="single" w:color="000000" w:sz="4" w:space="0"/>
              <w:right w:val="single" w:color="000000" w:sz="4" w:space="0"/>
            </w:tcBorders>
          </w:tcPr>
          <w:p>
            <w:pPr>
              <w:pStyle w:val="11"/>
              <w:spacing w:before="95"/>
              <w:ind w:left="27"/>
              <w:rPr>
                <w:rFonts w:ascii="Times New Roman"/>
                <w:sz w:val="18"/>
              </w:rPr>
            </w:pPr>
            <w:r>
              <w:rPr>
                <w:rFonts w:ascii="Times New Roman"/>
                <w:sz w:val="18"/>
              </w:rPr>
              <w:t>4</w:t>
            </w:r>
          </w:p>
        </w:tc>
        <w:tc>
          <w:tcPr>
            <w:tcW w:w="792" w:type="dxa"/>
            <w:tcBorders>
              <w:top w:val="single" w:color="000000" w:sz="4" w:space="0"/>
              <w:left w:val="single" w:color="000000" w:sz="4" w:space="0"/>
              <w:bottom w:val="single" w:color="000000" w:sz="4" w:space="0"/>
              <w:right w:val="single" w:color="000000" w:sz="4" w:space="0"/>
            </w:tcBorders>
          </w:tcPr>
          <w:p>
            <w:pPr>
              <w:pStyle w:val="11"/>
              <w:spacing w:before="83"/>
              <w:ind w:left="80" w:right="54"/>
              <w:rPr>
                <w:sz w:val="18"/>
              </w:rPr>
            </w:pPr>
            <w:r>
              <w:rPr>
                <w:sz w:val="18"/>
              </w:rPr>
              <w:t>合格</w:t>
            </w:r>
          </w:p>
        </w:tc>
        <w:tc>
          <w:tcPr>
            <w:tcW w:w="840" w:type="dxa"/>
            <w:tcBorders>
              <w:top w:val="single" w:color="000000" w:sz="4" w:space="0"/>
              <w:left w:val="single" w:color="000000" w:sz="4" w:space="0"/>
              <w:bottom w:val="single" w:color="000000" w:sz="4" w:space="0"/>
              <w:right w:val="single" w:color="000000" w:sz="4" w:space="0"/>
            </w:tcBorders>
          </w:tcPr>
          <w:p>
            <w:pPr>
              <w:pStyle w:val="11"/>
              <w:spacing w:before="95"/>
              <w:ind w:left="30"/>
              <w:rPr>
                <w:rFonts w:ascii="Times New Roman"/>
                <w:sz w:val="18"/>
              </w:rPr>
            </w:pPr>
            <w:r>
              <w:rPr>
                <w:rFonts w:ascii="Times New Roman"/>
                <w:sz w:val="18"/>
              </w:rPr>
              <w:t>4</w:t>
            </w:r>
          </w:p>
        </w:tc>
        <w:tc>
          <w:tcPr>
            <w:tcW w:w="960" w:type="dxa"/>
            <w:tcBorders>
              <w:top w:val="single" w:color="000000" w:sz="4" w:space="0"/>
              <w:left w:val="single" w:color="000000" w:sz="4" w:space="0"/>
              <w:bottom w:val="single" w:color="000000" w:sz="4" w:space="0"/>
              <w:right w:val="single" w:color="000000" w:sz="4" w:space="0"/>
            </w:tcBorders>
          </w:tcPr>
          <w:p>
            <w:pPr>
              <w:pStyle w:val="11"/>
              <w:spacing w:before="83"/>
              <w:ind w:left="92" w:right="66"/>
              <w:rPr>
                <w:sz w:val="18"/>
              </w:rPr>
            </w:pPr>
            <w:r>
              <w:rPr>
                <w:sz w:val="18"/>
              </w:rPr>
              <w:t>合格</w:t>
            </w:r>
          </w:p>
        </w:tc>
        <w:tc>
          <w:tcPr>
            <w:tcW w:w="958" w:type="dxa"/>
            <w:tcBorders>
              <w:top w:val="single" w:color="000000" w:sz="4" w:space="0"/>
              <w:left w:val="single" w:color="000000" w:sz="4" w:space="0"/>
              <w:bottom w:val="single" w:color="000000" w:sz="4" w:space="0"/>
              <w:right w:val="single" w:color="000000" w:sz="4" w:space="0"/>
            </w:tcBorders>
          </w:tcPr>
          <w:p>
            <w:pPr>
              <w:pStyle w:val="11"/>
              <w:spacing w:before="95"/>
              <w:ind w:left="27"/>
              <w:rPr>
                <w:rFonts w:ascii="Times New Roman"/>
                <w:sz w:val="18"/>
              </w:rPr>
            </w:pPr>
            <w:r>
              <w:rPr>
                <w:rFonts w:ascii="Times New Roman"/>
                <w:sz w:val="18"/>
              </w:rPr>
              <w:t>4</w:t>
            </w:r>
          </w:p>
        </w:tc>
        <w:tc>
          <w:tcPr>
            <w:tcW w:w="810" w:type="dxa"/>
            <w:tcBorders>
              <w:top w:val="single" w:color="000000" w:sz="4" w:space="0"/>
              <w:left w:val="single" w:color="000000" w:sz="4" w:space="0"/>
              <w:bottom w:val="single" w:color="000000" w:sz="4" w:space="0"/>
              <w:right w:val="single" w:color="000000" w:sz="4" w:space="0"/>
            </w:tcBorders>
          </w:tcPr>
          <w:p>
            <w:pPr>
              <w:pStyle w:val="11"/>
              <w:spacing w:before="83"/>
              <w:ind w:left="40" w:right="14"/>
              <w:rPr>
                <w:sz w:val="18"/>
              </w:rPr>
            </w:pPr>
            <w:r>
              <w:rPr>
                <w:sz w:val="18"/>
              </w:rPr>
              <w:t>合格</w:t>
            </w:r>
          </w:p>
        </w:tc>
        <w:tc>
          <w:tcPr>
            <w:tcW w:w="936" w:type="dxa"/>
            <w:tcBorders>
              <w:top w:val="single" w:color="000000" w:sz="4" w:space="0"/>
              <w:left w:val="single" w:color="000000" w:sz="4" w:space="0"/>
              <w:bottom w:val="single" w:color="000000" w:sz="4" w:space="0"/>
            </w:tcBorders>
          </w:tcPr>
          <w:p>
            <w:pPr>
              <w:pStyle w:val="11"/>
              <w:spacing w:before="83"/>
              <w:ind w:left="277" w:right="239"/>
              <w:rPr>
                <w:sz w:val="18"/>
              </w:rPr>
            </w:pPr>
            <w:r>
              <w:rPr>
                <w:sz w:val="18"/>
              </w:rPr>
              <w:t>合格</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530" w:type="dxa"/>
            <w:tcBorders>
              <w:top w:val="single" w:color="000000" w:sz="4" w:space="0"/>
              <w:bottom w:val="single" w:color="000000" w:sz="4" w:space="0"/>
              <w:right w:val="single" w:color="000000" w:sz="4" w:space="0"/>
            </w:tcBorders>
          </w:tcPr>
          <w:p>
            <w:pPr>
              <w:pStyle w:val="11"/>
              <w:spacing w:before="93"/>
              <w:ind w:left="16"/>
              <w:rPr>
                <w:rFonts w:ascii="Times New Roman"/>
                <w:sz w:val="18"/>
              </w:rPr>
            </w:pPr>
            <w:r>
              <w:rPr>
                <w:rFonts w:ascii="Times New Roman"/>
                <w:sz w:val="18"/>
              </w:rPr>
              <w:t>3</w:t>
            </w:r>
          </w:p>
        </w:tc>
        <w:tc>
          <w:tcPr>
            <w:tcW w:w="1223" w:type="dxa"/>
            <w:tcBorders>
              <w:top w:val="single" w:color="000000" w:sz="4" w:space="0"/>
              <w:left w:val="single" w:color="000000" w:sz="4" w:space="0"/>
              <w:bottom w:val="single" w:color="000000" w:sz="4" w:space="0"/>
              <w:right w:val="single" w:color="000000" w:sz="4" w:space="0"/>
            </w:tcBorders>
          </w:tcPr>
          <w:p>
            <w:pPr>
              <w:pStyle w:val="11"/>
              <w:spacing w:before="84"/>
              <w:ind w:left="149" w:right="122"/>
              <w:rPr>
                <w:sz w:val="18"/>
              </w:rPr>
            </w:pPr>
            <w:r>
              <w:rPr>
                <w:sz w:val="18"/>
              </w:rPr>
              <w:t>砖砌</w:t>
            </w:r>
          </w:p>
        </w:tc>
        <w:tc>
          <w:tcPr>
            <w:tcW w:w="685" w:type="dxa"/>
            <w:tcBorders>
              <w:top w:val="single" w:color="000000" w:sz="4" w:space="0"/>
              <w:left w:val="single" w:color="000000" w:sz="4" w:space="0"/>
              <w:bottom w:val="single" w:color="000000" w:sz="4" w:space="0"/>
              <w:right w:val="single" w:color="000000" w:sz="4" w:space="0"/>
            </w:tcBorders>
          </w:tcPr>
          <w:p>
            <w:pPr>
              <w:pStyle w:val="11"/>
              <w:spacing w:before="93"/>
              <w:ind w:left="28"/>
              <w:rPr>
                <w:rFonts w:ascii="Times New Roman"/>
                <w:sz w:val="18"/>
              </w:rPr>
            </w:pPr>
            <w:r>
              <w:rPr>
                <w:rFonts w:ascii="Times New Roman"/>
                <w:sz w:val="18"/>
              </w:rPr>
              <w:t>4</w:t>
            </w:r>
          </w:p>
        </w:tc>
        <w:tc>
          <w:tcPr>
            <w:tcW w:w="871" w:type="dxa"/>
            <w:tcBorders>
              <w:top w:val="single" w:color="000000" w:sz="4" w:space="0"/>
              <w:left w:val="single" w:color="000000" w:sz="4" w:space="0"/>
              <w:bottom w:val="single" w:color="000000" w:sz="4" w:space="0"/>
              <w:right w:val="single" w:color="000000" w:sz="4" w:space="0"/>
            </w:tcBorders>
          </w:tcPr>
          <w:p>
            <w:pPr>
              <w:pStyle w:val="11"/>
              <w:spacing w:before="93"/>
              <w:ind w:left="27"/>
              <w:rPr>
                <w:rFonts w:ascii="Times New Roman"/>
                <w:sz w:val="18"/>
              </w:rPr>
            </w:pPr>
            <w:r>
              <w:rPr>
                <w:rFonts w:ascii="Times New Roman"/>
                <w:sz w:val="18"/>
              </w:rPr>
              <w:t>4</w:t>
            </w:r>
          </w:p>
        </w:tc>
        <w:tc>
          <w:tcPr>
            <w:tcW w:w="792" w:type="dxa"/>
            <w:tcBorders>
              <w:top w:val="single" w:color="000000" w:sz="4" w:space="0"/>
              <w:left w:val="single" w:color="000000" w:sz="4" w:space="0"/>
              <w:bottom w:val="single" w:color="000000" w:sz="4" w:space="0"/>
              <w:right w:val="single" w:color="000000" w:sz="4" w:space="0"/>
            </w:tcBorders>
          </w:tcPr>
          <w:p>
            <w:pPr>
              <w:pStyle w:val="11"/>
              <w:spacing w:before="84"/>
              <w:ind w:left="80" w:right="54"/>
              <w:rPr>
                <w:sz w:val="18"/>
              </w:rPr>
            </w:pPr>
            <w:r>
              <w:rPr>
                <w:sz w:val="18"/>
              </w:rPr>
              <w:t>合格</w:t>
            </w:r>
          </w:p>
        </w:tc>
        <w:tc>
          <w:tcPr>
            <w:tcW w:w="840" w:type="dxa"/>
            <w:tcBorders>
              <w:top w:val="single" w:color="000000" w:sz="4" w:space="0"/>
              <w:left w:val="single" w:color="000000" w:sz="4" w:space="0"/>
              <w:bottom w:val="single" w:color="000000" w:sz="4" w:space="0"/>
              <w:right w:val="single" w:color="000000" w:sz="4" w:space="0"/>
            </w:tcBorders>
          </w:tcPr>
          <w:p>
            <w:pPr>
              <w:pStyle w:val="11"/>
              <w:spacing w:before="93"/>
              <w:ind w:left="30"/>
              <w:rPr>
                <w:rFonts w:ascii="Times New Roman"/>
                <w:sz w:val="18"/>
              </w:rPr>
            </w:pPr>
            <w:r>
              <w:rPr>
                <w:rFonts w:ascii="Times New Roman"/>
                <w:sz w:val="18"/>
              </w:rPr>
              <w:t>4</w:t>
            </w:r>
          </w:p>
        </w:tc>
        <w:tc>
          <w:tcPr>
            <w:tcW w:w="960" w:type="dxa"/>
            <w:tcBorders>
              <w:top w:val="single" w:color="000000" w:sz="4" w:space="0"/>
              <w:left w:val="single" w:color="000000" w:sz="4" w:space="0"/>
              <w:bottom w:val="single" w:color="000000" w:sz="4" w:space="0"/>
              <w:right w:val="single" w:color="000000" w:sz="4" w:space="0"/>
            </w:tcBorders>
          </w:tcPr>
          <w:p>
            <w:pPr>
              <w:pStyle w:val="11"/>
              <w:spacing w:before="84"/>
              <w:ind w:left="92" w:right="66"/>
              <w:rPr>
                <w:sz w:val="18"/>
              </w:rPr>
            </w:pPr>
            <w:r>
              <w:rPr>
                <w:sz w:val="18"/>
              </w:rPr>
              <w:t>合格</w:t>
            </w:r>
          </w:p>
        </w:tc>
        <w:tc>
          <w:tcPr>
            <w:tcW w:w="958" w:type="dxa"/>
            <w:tcBorders>
              <w:top w:val="single" w:color="000000" w:sz="4" w:space="0"/>
              <w:left w:val="single" w:color="000000" w:sz="4" w:space="0"/>
              <w:bottom w:val="single" w:color="000000" w:sz="4" w:space="0"/>
              <w:right w:val="single" w:color="000000" w:sz="4" w:space="0"/>
            </w:tcBorders>
          </w:tcPr>
          <w:p>
            <w:pPr>
              <w:pStyle w:val="11"/>
              <w:spacing w:before="93"/>
              <w:ind w:left="27"/>
              <w:rPr>
                <w:rFonts w:ascii="Times New Roman"/>
                <w:sz w:val="18"/>
              </w:rPr>
            </w:pPr>
            <w:r>
              <w:rPr>
                <w:rFonts w:ascii="Times New Roman"/>
                <w:sz w:val="18"/>
              </w:rPr>
              <w:t>4</w:t>
            </w:r>
          </w:p>
        </w:tc>
        <w:tc>
          <w:tcPr>
            <w:tcW w:w="810" w:type="dxa"/>
            <w:tcBorders>
              <w:top w:val="single" w:color="000000" w:sz="4" w:space="0"/>
              <w:left w:val="single" w:color="000000" w:sz="4" w:space="0"/>
              <w:bottom w:val="single" w:color="000000" w:sz="4" w:space="0"/>
              <w:right w:val="single" w:color="000000" w:sz="4" w:space="0"/>
            </w:tcBorders>
          </w:tcPr>
          <w:p>
            <w:pPr>
              <w:pStyle w:val="11"/>
              <w:spacing w:before="84"/>
              <w:ind w:left="40" w:right="14"/>
              <w:rPr>
                <w:sz w:val="18"/>
              </w:rPr>
            </w:pPr>
            <w:r>
              <w:rPr>
                <w:sz w:val="18"/>
              </w:rPr>
              <w:t>合格</w:t>
            </w:r>
          </w:p>
        </w:tc>
        <w:tc>
          <w:tcPr>
            <w:tcW w:w="936" w:type="dxa"/>
            <w:tcBorders>
              <w:top w:val="single" w:color="000000" w:sz="4" w:space="0"/>
              <w:left w:val="single" w:color="000000" w:sz="4" w:space="0"/>
              <w:bottom w:val="single" w:color="000000" w:sz="4" w:space="0"/>
            </w:tcBorders>
          </w:tcPr>
          <w:p>
            <w:pPr>
              <w:pStyle w:val="11"/>
              <w:spacing w:before="84"/>
              <w:ind w:left="277" w:right="239"/>
              <w:rPr>
                <w:sz w:val="18"/>
              </w:rPr>
            </w:pPr>
            <w:r>
              <w:rPr>
                <w:sz w:val="18"/>
              </w:rPr>
              <w:t>合格</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530" w:type="dxa"/>
            <w:tcBorders>
              <w:top w:val="single" w:color="000000" w:sz="4" w:space="0"/>
              <w:bottom w:val="single" w:color="000000" w:sz="4" w:space="0"/>
              <w:right w:val="single" w:color="000000" w:sz="4" w:space="0"/>
            </w:tcBorders>
          </w:tcPr>
          <w:p>
            <w:pPr>
              <w:pStyle w:val="11"/>
              <w:spacing w:before="94"/>
              <w:ind w:left="16"/>
              <w:rPr>
                <w:rFonts w:ascii="Times New Roman"/>
                <w:sz w:val="18"/>
              </w:rPr>
            </w:pPr>
            <w:r>
              <w:rPr>
                <w:rFonts w:ascii="Times New Roman"/>
                <w:sz w:val="18"/>
              </w:rPr>
              <w:t>4</w:t>
            </w:r>
          </w:p>
        </w:tc>
        <w:tc>
          <w:tcPr>
            <w:tcW w:w="1223" w:type="dxa"/>
            <w:tcBorders>
              <w:top w:val="single" w:color="000000" w:sz="4" w:space="0"/>
              <w:left w:val="single" w:color="000000" w:sz="4" w:space="0"/>
              <w:bottom w:val="single" w:color="000000" w:sz="4" w:space="0"/>
              <w:right w:val="single" w:color="000000" w:sz="4" w:space="0"/>
            </w:tcBorders>
          </w:tcPr>
          <w:p>
            <w:pPr>
              <w:pStyle w:val="11"/>
              <w:ind w:left="149" w:right="122"/>
              <w:rPr>
                <w:sz w:val="18"/>
              </w:rPr>
            </w:pPr>
            <w:r>
              <w:rPr>
                <w:sz w:val="18"/>
              </w:rPr>
              <w:t>砂浆抹面</w:t>
            </w:r>
          </w:p>
        </w:tc>
        <w:tc>
          <w:tcPr>
            <w:tcW w:w="685" w:type="dxa"/>
            <w:tcBorders>
              <w:top w:val="single" w:color="000000" w:sz="4" w:space="0"/>
              <w:left w:val="single" w:color="000000" w:sz="4" w:space="0"/>
              <w:bottom w:val="single" w:color="000000" w:sz="4" w:space="0"/>
              <w:right w:val="single" w:color="000000" w:sz="4" w:space="0"/>
            </w:tcBorders>
          </w:tcPr>
          <w:p>
            <w:pPr>
              <w:pStyle w:val="11"/>
              <w:spacing w:before="94"/>
              <w:ind w:left="28"/>
              <w:rPr>
                <w:rFonts w:ascii="Times New Roman"/>
                <w:sz w:val="18"/>
              </w:rPr>
            </w:pPr>
            <w:r>
              <w:rPr>
                <w:rFonts w:ascii="Times New Roman"/>
                <w:sz w:val="18"/>
              </w:rPr>
              <w:t>4</w:t>
            </w:r>
          </w:p>
        </w:tc>
        <w:tc>
          <w:tcPr>
            <w:tcW w:w="871" w:type="dxa"/>
            <w:tcBorders>
              <w:top w:val="single" w:color="000000" w:sz="4" w:space="0"/>
              <w:left w:val="single" w:color="000000" w:sz="4" w:space="0"/>
              <w:bottom w:val="single" w:color="000000" w:sz="4" w:space="0"/>
              <w:right w:val="single" w:color="000000" w:sz="4" w:space="0"/>
            </w:tcBorders>
          </w:tcPr>
          <w:p>
            <w:pPr>
              <w:pStyle w:val="11"/>
              <w:spacing w:before="94"/>
              <w:ind w:left="27"/>
              <w:rPr>
                <w:rFonts w:ascii="Times New Roman"/>
                <w:sz w:val="18"/>
              </w:rPr>
            </w:pPr>
            <w:r>
              <w:rPr>
                <w:rFonts w:ascii="Times New Roman"/>
                <w:sz w:val="18"/>
              </w:rPr>
              <w:t>4</w:t>
            </w:r>
          </w:p>
        </w:tc>
        <w:tc>
          <w:tcPr>
            <w:tcW w:w="792" w:type="dxa"/>
            <w:tcBorders>
              <w:top w:val="single" w:color="000000" w:sz="4" w:space="0"/>
              <w:left w:val="single" w:color="000000" w:sz="4" w:space="0"/>
              <w:bottom w:val="single" w:color="000000" w:sz="4" w:space="0"/>
              <w:right w:val="single" w:color="000000" w:sz="4" w:space="0"/>
            </w:tcBorders>
          </w:tcPr>
          <w:p>
            <w:pPr>
              <w:pStyle w:val="11"/>
              <w:ind w:left="80" w:right="54"/>
              <w:rPr>
                <w:sz w:val="18"/>
              </w:rPr>
            </w:pPr>
            <w:r>
              <w:rPr>
                <w:sz w:val="18"/>
              </w:rPr>
              <w:t>合格</w:t>
            </w:r>
          </w:p>
        </w:tc>
        <w:tc>
          <w:tcPr>
            <w:tcW w:w="840" w:type="dxa"/>
            <w:tcBorders>
              <w:top w:val="single" w:color="000000" w:sz="4" w:space="0"/>
              <w:left w:val="single" w:color="000000" w:sz="4" w:space="0"/>
              <w:bottom w:val="single" w:color="000000" w:sz="4" w:space="0"/>
              <w:right w:val="single" w:color="000000" w:sz="4" w:space="0"/>
            </w:tcBorders>
          </w:tcPr>
          <w:p>
            <w:pPr>
              <w:pStyle w:val="11"/>
              <w:spacing w:before="94"/>
              <w:ind w:left="30"/>
              <w:rPr>
                <w:rFonts w:ascii="Times New Roman"/>
                <w:sz w:val="18"/>
              </w:rPr>
            </w:pPr>
            <w:r>
              <w:rPr>
                <w:rFonts w:ascii="Times New Roman"/>
                <w:sz w:val="18"/>
              </w:rPr>
              <w:t>4</w:t>
            </w:r>
          </w:p>
        </w:tc>
        <w:tc>
          <w:tcPr>
            <w:tcW w:w="960" w:type="dxa"/>
            <w:tcBorders>
              <w:top w:val="single" w:color="000000" w:sz="4" w:space="0"/>
              <w:left w:val="single" w:color="000000" w:sz="4" w:space="0"/>
              <w:bottom w:val="single" w:color="000000" w:sz="4" w:space="0"/>
              <w:right w:val="single" w:color="000000" w:sz="4" w:space="0"/>
            </w:tcBorders>
          </w:tcPr>
          <w:p>
            <w:pPr>
              <w:pStyle w:val="11"/>
              <w:ind w:left="92" w:right="66"/>
              <w:rPr>
                <w:sz w:val="18"/>
              </w:rPr>
            </w:pPr>
            <w:r>
              <w:rPr>
                <w:sz w:val="18"/>
              </w:rPr>
              <w:t>合格</w:t>
            </w:r>
          </w:p>
        </w:tc>
        <w:tc>
          <w:tcPr>
            <w:tcW w:w="958" w:type="dxa"/>
            <w:tcBorders>
              <w:top w:val="single" w:color="000000" w:sz="4" w:space="0"/>
              <w:left w:val="single" w:color="000000" w:sz="4" w:space="0"/>
              <w:bottom w:val="single" w:color="000000" w:sz="4" w:space="0"/>
              <w:right w:val="single" w:color="000000" w:sz="4" w:space="0"/>
            </w:tcBorders>
          </w:tcPr>
          <w:p>
            <w:pPr>
              <w:pStyle w:val="11"/>
              <w:spacing w:before="94"/>
              <w:ind w:left="27"/>
              <w:rPr>
                <w:rFonts w:ascii="Times New Roman"/>
                <w:sz w:val="18"/>
              </w:rPr>
            </w:pPr>
            <w:r>
              <w:rPr>
                <w:rFonts w:ascii="Times New Roman"/>
                <w:sz w:val="18"/>
              </w:rPr>
              <w:t>4</w:t>
            </w:r>
          </w:p>
        </w:tc>
        <w:tc>
          <w:tcPr>
            <w:tcW w:w="810" w:type="dxa"/>
            <w:tcBorders>
              <w:top w:val="single" w:color="000000" w:sz="4" w:space="0"/>
              <w:left w:val="single" w:color="000000" w:sz="4" w:space="0"/>
              <w:bottom w:val="single" w:color="000000" w:sz="4" w:space="0"/>
              <w:right w:val="single" w:color="000000" w:sz="4" w:space="0"/>
            </w:tcBorders>
          </w:tcPr>
          <w:p>
            <w:pPr>
              <w:pStyle w:val="11"/>
              <w:ind w:left="40" w:right="14"/>
              <w:rPr>
                <w:sz w:val="18"/>
              </w:rPr>
            </w:pPr>
            <w:r>
              <w:rPr>
                <w:sz w:val="18"/>
              </w:rPr>
              <w:t>合格</w:t>
            </w:r>
          </w:p>
        </w:tc>
        <w:tc>
          <w:tcPr>
            <w:tcW w:w="936" w:type="dxa"/>
            <w:tcBorders>
              <w:top w:val="single" w:color="000000" w:sz="4" w:space="0"/>
              <w:left w:val="single" w:color="000000" w:sz="4" w:space="0"/>
              <w:bottom w:val="single" w:color="000000" w:sz="4" w:space="0"/>
            </w:tcBorders>
          </w:tcPr>
          <w:p>
            <w:pPr>
              <w:pStyle w:val="11"/>
              <w:ind w:left="277" w:right="239"/>
              <w:rPr>
                <w:sz w:val="18"/>
              </w:rPr>
            </w:pPr>
            <w:r>
              <w:rPr>
                <w:sz w:val="18"/>
              </w:rPr>
              <w:t>合格</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530" w:type="dxa"/>
            <w:tcBorders>
              <w:top w:val="single" w:color="000000" w:sz="4" w:space="0"/>
              <w:bottom w:val="single" w:color="000000" w:sz="4" w:space="0"/>
              <w:right w:val="single" w:color="000000" w:sz="4" w:space="0"/>
            </w:tcBorders>
          </w:tcPr>
          <w:p>
            <w:pPr>
              <w:pStyle w:val="11"/>
              <w:spacing w:before="93"/>
              <w:ind w:left="16"/>
              <w:rPr>
                <w:rFonts w:ascii="Times New Roman"/>
                <w:sz w:val="18"/>
              </w:rPr>
            </w:pPr>
            <w:r>
              <w:rPr>
                <w:rFonts w:ascii="Times New Roman"/>
                <w:sz w:val="18"/>
              </w:rPr>
              <w:t>5</w:t>
            </w:r>
          </w:p>
        </w:tc>
        <w:tc>
          <w:tcPr>
            <w:tcW w:w="1223" w:type="dxa"/>
            <w:tcBorders>
              <w:top w:val="single" w:color="000000" w:sz="4" w:space="0"/>
              <w:left w:val="single" w:color="000000" w:sz="4" w:space="0"/>
              <w:bottom w:val="single" w:color="000000" w:sz="4" w:space="0"/>
              <w:right w:val="single" w:color="000000" w:sz="4" w:space="0"/>
            </w:tcBorders>
          </w:tcPr>
          <w:p>
            <w:pPr>
              <w:pStyle w:val="11"/>
              <w:spacing w:before="83"/>
              <w:ind w:left="149" w:right="122"/>
              <w:rPr>
                <w:sz w:val="18"/>
              </w:rPr>
            </w:pPr>
            <w:r>
              <w:rPr>
                <w:sz w:val="18"/>
              </w:rPr>
              <w:t>土方回填</w:t>
            </w:r>
          </w:p>
        </w:tc>
        <w:tc>
          <w:tcPr>
            <w:tcW w:w="685" w:type="dxa"/>
            <w:tcBorders>
              <w:top w:val="single" w:color="000000" w:sz="4" w:space="0"/>
              <w:left w:val="single" w:color="000000" w:sz="4" w:space="0"/>
              <w:bottom w:val="single" w:color="000000" w:sz="4" w:space="0"/>
              <w:right w:val="single" w:color="000000" w:sz="4" w:space="0"/>
            </w:tcBorders>
          </w:tcPr>
          <w:p>
            <w:pPr>
              <w:pStyle w:val="11"/>
              <w:spacing w:before="93"/>
              <w:ind w:left="28"/>
              <w:rPr>
                <w:rFonts w:ascii="Times New Roman"/>
                <w:sz w:val="18"/>
              </w:rPr>
            </w:pPr>
            <w:r>
              <w:rPr>
                <w:rFonts w:ascii="Times New Roman"/>
                <w:sz w:val="18"/>
              </w:rPr>
              <w:t>5</w:t>
            </w:r>
          </w:p>
        </w:tc>
        <w:tc>
          <w:tcPr>
            <w:tcW w:w="871" w:type="dxa"/>
            <w:tcBorders>
              <w:top w:val="single" w:color="000000" w:sz="4" w:space="0"/>
              <w:left w:val="single" w:color="000000" w:sz="4" w:space="0"/>
              <w:bottom w:val="single" w:color="000000" w:sz="4" w:space="0"/>
              <w:right w:val="single" w:color="000000" w:sz="4" w:space="0"/>
            </w:tcBorders>
          </w:tcPr>
          <w:p>
            <w:pPr>
              <w:pStyle w:val="11"/>
              <w:spacing w:before="93"/>
              <w:ind w:left="27"/>
              <w:rPr>
                <w:rFonts w:ascii="Times New Roman"/>
                <w:sz w:val="18"/>
              </w:rPr>
            </w:pPr>
            <w:r>
              <w:rPr>
                <w:rFonts w:ascii="Times New Roman"/>
                <w:sz w:val="18"/>
              </w:rPr>
              <w:t>5</w:t>
            </w:r>
          </w:p>
        </w:tc>
        <w:tc>
          <w:tcPr>
            <w:tcW w:w="792" w:type="dxa"/>
            <w:tcBorders>
              <w:top w:val="single" w:color="000000" w:sz="4" w:space="0"/>
              <w:left w:val="single" w:color="000000" w:sz="4" w:space="0"/>
              <w:bottom w:val="single" w:color="000000" w:sz="4" w:space="0"/>
              <w:right w:val="single" w:color="000000" w:sz="4" w:space="0"/>
            </w:tcBorders>
          </w:tcPr>
          <w:p>
            <w:pPr>
              <w:pStyle w:val="11"/>
              <w:spacing w:before="83"/>
              <w:ind w:left="80" w:right="54"/>
              <w:rPr>
                <w:sz w:val="18"/>
              </w:rPr>
            </w:pPr>
            <w:r>
              <w:rPr>
                <w:sz w:val="18"/>
              </w:rPr>
              <w:t>合格</w:t>
            </w:r>
          </w:p>
        </w:tc>
        <w:tc>
          <w:tcPr>
            <w:tcW w:w="840" w:type="dxa"/>
            <w:tcBorders>
              <w:top w:val="single" w:color="000000" w:sz="4" w:space="0"/>
              <w:left w:val="single" w:color="000000" w:sz="4" w:space="0"/>
              <w:bottom w:val="single" w:color="000000" w:sz="4" w:space="0"/>
              <w:right w:val="single" w:color="000000" w:sz="4" w:space="0"/>
            </w:tcBorders>
          </w:tcPr>
          <w:p>
            <w:pPr>
              <w:pStyle w:val="11"/>
              <w:spacing w:before="93"/>
              <w:ind w:left="30"/>
              <w:rPr>
                <w:rFonts w:ascii="Times New Roman"/>
                <w:sz w:val="18"/>
              </w:rPr>
            </w:pPr>
            <w:r>
              <w:rPr>
                <w:rFonts w:ascii="Times New Roman"/>
                <w:sz w:val="18"/>
              </w:rPr>
              <w:t>5</w:t>
            </w:r>
          </w:p>
        </w:tc>
        <w:tc>
          <w:tcPr>
            <w:tcW w:w="960" w:type="dxa"/>
            <w:tcBorders>
              <w:top w:val="single" w:color="000000" w:sz="4" w:space="0"/>
              <w:left w:val="single" w:color="000000" w:sz="4" w:space="0"/>
              <w:bottom w:val="single" w:color="000000" w:sz="4" w:space="0"/>
              <w:right w:val="single" w:color="000000" w:sz="4" w:space="0"/>
            </w:tcBorders>
          </w:tcPr>
          <w:p>
            <w:pPr>
              <w:pStyle w:val="11"/>
              <w:spacing w:before="83"/>
              <w:ind w:left="92" w:right="66"/>
              <w:rPr>
                <w:sz w:val="18"/>
              </w:rPr>
            </w:pPr>
            <w:r>
              <w:rPr>
                <w:sz w:val="18"/>
              </w:rPr>
              <w:t>合格</w:t>
            </w:r>
          </w:p>
        </w:tc>
        <w:tc>
          <w:tcPr>
            <w:tcW w:w="958" w:type="dxa"/>
            <w:tcBorders>
              <w:top w:val="single" w:color="000000" w:sz="4" w:space="0"/>
              <w:left w:val="single" w:color="000000" w:sz="4" w:space="0"/>
              <w:bottom w:val="single" w:color="000000" w:sz="4" w:space="0"/>
              <w:right w:val="single" w:color="000000" w:sz="4" w:space="0"/>
            </w:tcBorders>
          </w:tcPr>
          <w:p>
            <w:pPr>
              <w:pStyle w:val="11"/>
              <w:spacing w:before="93"/>
              <w:ind w:left="27"/>
              <w:rPr>
                <w:rFonts w:ascii="Times New Roman"/>
                <w:sz w:val="18"/>
              </w:rPr>
            </w:pPr>
            <w:r>
              <w:rPr>
                <w:rFonts w:ascii="Times New Roman"/>
                <w:sz w:val="18"/>
              </w:rPr>
              <w:t>5</w:t>
            </w:r>
          </w:p>
        </w:tc>
        <w:tc>
          <w:tcPr>
            <w:tcW w:w="810" w:type="dxa"/>
            <w:tcBorders>
              <w:top w:val="single" w:color="000000" w:sz="4" w:space="0"/>
              <w:left w:val="single" w:color="000000" w:sz="4" w:space="0"/>
              <w:bottom w:val="single" w:color="000000" w:sz="4" w:space="0"/>
              <w:right w:val="single" w:color="000000" w:sz="4" w:space="0"/>
            </w:tcBorders>
          </w:tcPr>
          <w:p>
            <w:pPr>
              <w:pStyle w:val="11"/>
              <w:spacing w:before="83"/>
              <w:ind w:left="40" w:right="14"/>
              <w:rPr>
                <w:sz w:val="18"/>
              </w:rPr>
            </w:pPr>
            <w:r>
              <w:rPr>
                <w:sz w:val="18"/>
              </w:rPr>
              <w:t>合格</w:t>
            </w:r>
          </w:p>
        </w:tc>
        <w:tc>
          <w:tcPr>
            <w:tcW w:w="936" w:type="dxa"/>
            <w:tcBorders>
              <w:top w:val="single" w:color="000000" w:sz="4" w:space="0"/>
              <w:left w:val="single" w:color="000000" w:sz="4" w:space="0"/>
              <w:bottom w:val="single" w:color="000000" w:sz="4" w:space="0"/>
            </w:tcBorders>
          </w:tcPr>
          <w:p>
            <w:pPr>
              <w:pStyle w:val="11"/>
              <w:spacing w:before="83"/>
              <w:ind w:left="277" w:right="239"/>
              <w:rPr>
                <w:sz w:val="18"/>
              </w:rPr>
            </w:pPr>
            <w:r>
              <w:rPr>
                <w:sz w:val="18"/>
              </w:rPr>
              <w:t>合格</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4" w:hRule="atLeast"/>
        </w:trPr>
        <w:tc>
          <w:tcPr>
            <w:tcW w:w="530" w:type="dxa"/>
            <w:tcBorders>
              <w:top w:val="single" w:color="000000" w:sz="4" w:space="0"/>
              <w:right w:val="single" w:color="000000" w:sz="4" w:space="0"/>
            </w:tcBorders>
          </w:tcPr>
          <w:p>
            <w:pPr>
              <w:pStyle w:val="11"/>
              <w:spacing w:before="94"/>
              <w:ind w:left="16"/>
              <w:rPr>
                <w:rFonts w:ascii="Times New Roman"/>
                <w:sz w:val="18"/>
              </w:rPr>
            </w:pPr>
            <w:r>
              <w:rPr>
                <w:rFonts w:ascii="Times New Roman"/>
                <w:sz w:val="18"/>
              </w:rPr>
              <w:t>6</w:t>
            </w:r>
          </w:p>
        </w:tc>
        <w:tc>
          <w:tcPr>
            <w:tcW w:w="1223" w:type="dxa"/>
            <w:tcBorders>
              <w:top w:val="single" w:color="000000" w:sz="4" w:space="0"/>
              <w:left w:val="single" w:color="000000" w:sz="4" w:space="0"/>
              <w:right w:val="single" w:color="000000" w:sz="4" w:space="0"/>
            </w:tcBorders>
          </w:tcPr>
          <w:p>
            <w:pPr>
              <w:pStyle w:val="11"/>
              <w:ind w:left="149" w:right="122"/>
              <w:rPr>
                <w:sz w:val="18"/>
              </w:rPr>
            </w:pPr>
            <w:r>
              <w:rPr>
                <w:sz w:val="18"/>
              </w:rPr>
              <w:t>喷混凝土</w:t>
            </w:r>
          </w:p>
        </w:tc>
        <w:tc>
          <w:tcPr>
            <w:tcW w:w="685" w:type="dxa"/>
            <w:tcBorders>
              <w:top w:val="single" w:color="000000" w:sz="4" w:space="0"/>
              <w:left w:val="single" w:color="000000" w:sz="4" w:space="0"/>
              <w:right w:val="single" w:color="000000" w:sz="4" w:space="0"/>
            </w:tcBorders>
          </w:tcPr>
          <w:p>
            <w:pPr>
              <w:pStyle w:val="11"/>
              <w:spacing w:before="94"/>
              <w:ind w:left="28"/>
              <w:rPr>
                <w:rFonts w:ascii="Times New Roman"/>
                <w:sz w:val="18"/>
              </w:rPr>
            </w:pPr>
            <w:r>
              <w:rPr>
                <w:rFonts w:ascii="Times New Roman"/>
                <w:sz w:val="18"/>
              </w:rPr>
              <w:t>1</w:t>
            </w:r>
          </w:p>
        </w:tc>
        <w:tc>
          <w:tcPr>
            <w:tcW w:w="871" w:type="dxa"/>
            <w:tcBorders>
              <w:top w:val="single" w:color="000000" w:sz="4" w:space="0"/>
              <w:left w:val="single" w:color="000000" w:sz="4" w:space="0"/>
              <w:right w:val="single" w:color="000000" w:sz="4" w:space="0"/>
            </w:tcBorders>
          </w:tcPr>
          <w:p>
            <w:pPr>
              <w:pStyle w:val="11"/>
              <w:spacing w:before="94"/>
              <w:ind w:left="27"/>
              <w:rPr>
                <w:rFonts w:ascii="Times New Roman"/>
                <w:sz w:val="18"/>
              </w:rPr>
            </w:pPr>
            <w:r>
              <w:rPr>
                <w:rFonts w:ascii="Times New Roman"/>
                <w:sz w:val="18"/>
              </w:rPr>
              <w:t>1</w:t>
            </w:r>
          </w:p>
        </w:tc>
        <w:tc>
          <w:tcPr>
            <w:tcW w:w="792" w:type="dxa"/>
            <w:tcBorders>
              <w:top w:val="single" w:color="000000" w:sz="4" w:space="0"/>
              <w:left w:val="single" w:color="000000" w:sz="4" w:space="0"/>
              <w:right w:val="single" w:color="000000" w:sz="4" w:space="0"/>
            </w:tcBorders>
          </w:tcPr>
          <w:p>
            <w:pPr>
              <w:pStyle w:val="11"/>
              <w:ind w:left="80" w:right="54"/>
              <w:rPr>
                <w:sz w:val="18"/>
              </w:rPr>
            </w:pPr>
            <w:r>
              <w:rPr>
                <w:sz w:val="18"/>
              </w:rPr>
              <w:t>合格</w:t>
            </w:r>
          </w:p>
        </w:tc>
        <w:tc>
          <w:tcPr>
            <w:tcW w:w="840" w:type="dxa"/>
            <w:tcBorders>
              <w:top w:val="single" w:color="000000" w:sz="4" w:space="0"/>
              <w:left w:val="single" w:color="000000" w:sz="4" w:space="0"/>
              <w:right w:val="single" w:color="000000" w:sz="4" w:space="0"/>
            </w:tcBorders>
          </w:tcPr>
          <w:p>
            <w:pPr>
              <w:pStyle w:val="11"/>
              <w:spacing w:before="94"/>
              <w:ind w:left="30"/>
              <w:rPr>
                <w:rFonts w:ascii="Times New Roman"/>
                <w:sz w:val="18"/>
              </w:rPr>
            </w:pPr>
            <w:r>
              <w:rPr>
                <w:rFonts w:ascii="Times New Roman"/>
                <w:sz w:val="18"/>
              </w:rPr>
              <w:t>1</w:t>
            </w:r>
          </w:p>
        </w:tc>
        <w:tc>
          <w:tcPr>
            <w:tcW w:w="960" w:type="dxa"/>
            <w:tcBorders>
              <w:top w:val="single" w:color="000000" w:sz="4" w:space="0"/>
              <w:left w:val="single" w:color="000000" w:sz="4" w:space="0"/>
              <w:right w:val="single" w:color="000000" w:sz="4" w:space="0"/>
            </w:tcBorders>
          </w:tcPr>
          <w:p>
            <w:pPr>
              <w:pStyle w:val="11"/>
              <w:ind w:left="92" w:right="66"/>
              <w:rPr>
                <w:sz w:val="18"/>
              </w:rPr>
            </w:pPr>
            <w:r>
              <w:rPr>
                <w:sz w:val="18"/>
              </w:rPr>
              <w:t>合格</w:t>
            </w:r>
          </w:p>
        </w:tc>
        <w:tc>
          <w:tcPr>
            <w:tcW w:w="958" w:type="dxa"/>
            <w:tcBorders>
              <w:top w:val="single" w:color="000000" w:sz="4" w:space="0"/>
              <w:left w:val="single" w:color="000000" w:sz="4" w:space="0"/>
              <w:right w:val="single" w:color="000000" w:sz="4" w:space="0"/>
            </w:tcBorders>
          </w:tcPr>
          <w:p>
            <w:pPr>
              <w:pStyle w:val="11"/>
              <w:spacing w:before="94"/>
              <w:ind w:left="27"/>
              <w:rPr>
                <w:rFonts w:ascii="Times New Roman"/>
                <w:sz w:val="18"/>
              </w:rPr>
            </w:pPr>
            <w:r>
              <w:rPr>
                <w:rFonts w:ascii="Times New Roman"/>
                <w:sz w:val="18"/>
              </w:rPr>
              <w:t>1</w:t>
            </w:r>
          </w:p>
        </w:tc>
        <w:tc>
          <w:tcPr>
            <w:tcW w:w="810" w:type="dxa"/>
            <w:tcBorders>
              <w:top w:val="single" w:color="000000" w:sz="4" w:space="0"/>
              <w:left w:val="single" w:color="000000" w:sz="4" w:space="0"/>
              <w:right w:val="single" w:color="000000" w:sz="4" w:space="0"/>
            </w:tcBorders>
          </w:tcPr>
          <w:p>
            <w:pPr>
              <w:pStyle w:val="11"/>
              <w:ind w:left="40" w:right="14"/>
              <w:rPr>
                <w:sz w:val="18"/>
              </w:rPr>
            </w:pPr>
            <w:r>
              <w:rPr>
                <w:sz w:val="18"/>
              </w:rPr>
              <w:t>合格</w:t>
            </w:r>
          </w:p>
        </w:tc>
        <w:tc>
          <w:tcPr>
            <w:tcW w:w="936" w:type="dxa"/>
            <w:tcBorders>
              <w:top w:val="single" w:color="000000" w:sz="4" w:space="0"/>
              <w:left w:val="single" w:color="000000" w:sz="4" w:space="0"/>
            </w:tcBorders>
          </w:tcPr>
          <w:p>
            <w:pPr>
              <w:pStyle w:val="11"/>
              <w:ind w:left="277" w:right="239"/>
              <w:rPr>
                <w:sz w:val="18"/>
              </w:rPr>
            </w:pPr>
            <w:r>
              <w:rPr>
                <w:sz w:val="18"/>
              </w:rPr>
              <w:t>合格</w:t>
            </w:r>
          </w:p>
        </w:tc>
      </w:tr>
    </w:tbl>
    <w:p>
      <w:pPr>
        <w:spacing w:after="0"/>
        <w:rPr>
          <w:sz w:val="18"/>
        </w:rPr>
        <w:sectPr>
          <w:pgSz w:w="11910" w:h="16840"/>
          <w:pgMar w:top="1300" w:right="1160" w:bottom="1200" w:left="1420" w:header="878" w:footer="1005" w:gutter="0"/>
          <w:cols w:space="720" w:num="1"/>
        </w:sectPr>
      </w:pPr>
    </w:p>
    <w:p>
      <w:pPr>
        <w:pStyle w:val="4"/>
        <w:spacing w:before="9"/>
        <w:rPr>
          <w:rFonts w:ascii="宋体"/>
          <w:b/>
          <w:sz w:val="3"/>
        </w:rPr>
      </w:pPr>
    </w:p>
    <w:tbl>
      <w:tblPr>
        <w:tblStyle w:val="7"/>
        <w:tblW w:w="0" w:type="auto"/>
        <w:tblInd w:w="308"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530"/>
        <w:gridCol w:w="1223"/>
        <w:gridCol w:w="685"/>
        <w:gridCol w:w="871"/>
        <w:gridCol w:w="792"/>
        <w:gridCol w:w="840"/>
        <w:gridCol w:w="960"/>
        <w:gridCol w:w="958"/>
        <w:gridCol w:w="810"/>
        <w:gridCol w:w="936"/>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530" w:type="dxa"/>
            <w:tcBorders>
              <w:bottom w:val="single" w:color="000000" w:sz="4" w:space="0"/>
              <w:right w:val="single" w:color="000000" w:sz="4" w:space="0"/>
            </w:tcBorders>
          </w:tcPr>
          <w:p>
            <w:pPr>
              <w:pStyle w:val="11"/>
              <w:spacing w:before="93"/>
              <w:ind w:left="16"/>
              <w:rPr>
                <w:rFonts w:ascii="Times New Roman"/>
                <w:sz w:val="18"/>
              </w:rPr>
            </w:pPr>
            <w:r>
              <w:rPr>
                <w:rFonts w:ascii="Times New Roman"/>
                <w:sz w:val="18"/>
              </w:rPr>
              <w:t>7</w:t>
            </w:r>
          </w:p>
        </w:tc>
        <w:tc>
          <w:tcPr>
            <w:tcW w:w="1223" w:type="dxa"/>
            <w:tcBorders>
              <w:left w:val="single" w:color="000000" w:sz="4" w:space="0"/>
              <w:bottom w:val="single" w:color="000000" w:sz="4" w:space="0"/>
              <w:right w:val="single" w:color="000000" w:sz="4" w:space="0"/>
            </w:tcBorders>
          </w:tcPr>
          <w:p>
            <w:pPr>
              <w:pStyle w:val="11"/>
              <w:spacing w:before="84"/>
              <w:ind w:left="149" w:right="122"/>
              <w:rPr>
                <w:sz w:val="18"/>
              </w:rPr>
            </w:pPr>
            <w:r>
              <w:rPr>
                <w:sz w:val="18"/>
              </w:rPr>
              <w:t>场地平整</w:t>
            </w:r>
          </w:p>
        </w:tc>
        <w:tc>
          <w:tcPr>
            <w:tcW w:w="685" w:type="dxa"/>
            <w:tcBorders>
              <w:left w:val="single" w:color="000000" w:sz="4" w:space="0"/>
              <w:bottom w:val="single" w:color="000000" w:sz="4" w:space="0"/>
              <w:right w:val="single" w:color="000000" w:sz="4" w:space="0"/>
            </w:tcBorders>
          </w:tcPr>
          <w:p>
            <w:pPr>
              <w:pStyle w:val="11"/>
              <w:spacing w:before="93"/>
              <w:ind w:left="28"/>
              <w:rPr>
                <w:rFonts w:ascii="Times New Roman"/>
                <w:sz w:val="18"/>
              </w:rPr>
            </w:pPr>
            <w:r>
              <w:rPr>
                <w:rFonts w:ascii="Times New Roman"/>
                <w:sz w:val="18"/>
              </w:rPr>
              <w:t>4</w:t>
            </w:r>
          </w:p>
        </w:tc>
        <w:tc>
          <w:tcPr>
            <w:tcW w:w="871" w:type="dxa"/>
            <w:tcBorders>
              <w:left w:val="single" w:color="000000" w:sz="4" w:space="0"/>
              <w:bottom w:val="single" w:color="000000" w:sz="4" w:space="0"/>
              <w:right w:val="single" w:color="000000" w:sz="4" w:space="0"/>
            </w:tcBorders>
          </w:tcPr>
          <w:p>
            <w:pPr>
              <w:pStyle w:val="11"/>
              <w:spacing w:before="93"/>
              <w:ind w:left="27"/>
              <w:rPr>
                <w:rFonts w:ascii="Times New Roman"/>
                <w:sz w:val="18"/>
              </w:rPr>
            </w:pPr>
            <w:r>
              <w:rPr>
                <w:rFonts w:ascii="Times New Roman"/>
                <w:sz w:val="18"/>
              </w:rPr>
              <w:t>4</w:t>
            </w:r>
          </w:p>
        </w:tc>
        <w:tc>
          <w:tcPr>
            <w:tcW w:w="792" w:type="dxa"/>
            <w:tcBorders>
              <w:left w:val="single" w:color="000000" w:sz="4" w:space="0"/>
              <w:bottom w:val="single" w:color="000000" w:sz="4" w:space="0"/>
              <w:right w:val="single" w:color="000000" w:sz="4" w:space="0"/>
            </w:tcBorders>
          </w:tcPr>
          <w:p>
            <w:pPr>
              <w:pStyle w:val="11"/>
              <w:spacing w:before="84"/>
              <w:ind w:left="224"/>
              <w:jc w:val="left"/>
              <w:rPr>
                <w:sz w:val="18"/>
              </w:rPr>
            </w:pPr>
            <w:r>
              <w:rPr>
                <w:sz w:val="18"/>
              </w:rPr>
              <w:t>合格</w:t>
            </w:r>
          </w:p>
        </w:tc>
        <w:tc>
          <w:tcPr>
            <w:tcW w:w="840" w:type="dxa"/>
            <w:tcBorders>
              <w:left w:val="single" w:color="000000" w:sz="4" w:space="0"/>
              <w:bottom w:val="single" w:color="000000" w:sz="4" w:space="0"/>
              <w:right w:val="single" w:color="000000" w:sz="4" w:space="0"/>
            </w:tcBorders>
          </w:tcPr>
          <w:p>
            <w:pPr>
              <w:pStyle w:val="11"/>
              <w:spacing w:before="93"/>
              <w:ind w:left="385"/>
              <w:jc w:val="left"/>
              <w:rPr>
                <w:rFonts w:ascii="Times New Roman"/>
                <w:sz w:val="18"/>
              </w:rPr>
            </w:pPr>
            <w:r>
              <w:rPr>
                <w:rFonts w:ascii="Times New Roman"/>
                <w:sz w:val="18"/>
              </w:rPr>
              <w:t>4</w:t>
            </w:r>
          </w:p>
        </w:tc>
        <w:tc>
          <w:tcPr>
            <w:tcW w:w="960" w:type="dxa"/>
            <w:tcBorders>
              <w:left w:val="single" w:color="000000" w:sz="4" w:space="0"/>
              <w:bottom w:val="single" w:color="000000" w:sz="4" w:space="0"/>
              <w:right w:val="single" w:color="000000" w:sz="4" w:space="0"/>
            </w:tcBorders>
          </w:tcPr>
          <w:p>
            <w:pPr>
              <w:pStyle w:val="11"/>
              <w:spacing w:before="84"/>
              <w:ind w:left="92" w:right="66"/>
              <w:rPr>
                <w:sz w:val="18"/>
              </w:rPr>
            </w:pPr>
            <w:r>
              <w:rPr>
                <w:sz w:val="18"/>
              </w:rPr>
              <w:t>合格</w:t>
            </w:r>
          </w:p>
        </w:tc>
        <w:tc>
          <w:tcPr>
            <w:tcW w:w="958" w:type="dxa"/>
            <w:tcBorders>
              <w:left w:val="single" w:color="000000" w:sz="4" w:space="0"/>
              <w:bottom w:val="single" w:color="000000" w:sz="4" w:space="0"/>
              <w:right w:val="single" w:color="000000" w:sz="4" w:space="0"/>
            </w:tcBorders>
          </w:tcPr>
          <w:p>
            <w:pPr>
              <w:pStyle w:val="11"/>
              <w:spacing w:before="93"/>
              <w:ind w:right="413"/>
              <w:jc w:val="right"/>
              <w:rPr>
                <w:rFonts w:ascii="Times New Roman"/>
                <w:sz w:val="18"/>
              </w:rPr>
            </w:pPr>
            <w:r>
              <w:rPr>
                <w:rFonts w:ascii="Times New Roman"/>
                <w:sz w:val="18"/>
              </w:rPr>
              <w:t>4</w:t>
            </w:r>
          </w:p>
        </w:tc>
        <w:tc>
          <w:tcPr>
            <w:tcW w:w="810" w:type="dxa"/>
            <w:tcBorders>
              <w:left w:val="single" w:color="000000" w:sz="4" w:space="0"/>
              <w:bottom w:val="single" w:color="000000" w:sz="4" w:space="0"/>
              <w:right w:val="single" w:color="000000" w:sz="4" w:space="0"/>
            </w:tcBorders>
          </w:tcPr>
          <w:p>
            <w:pPr>
              <w:pStyle w:val="11"/>
              <w:spacing w:before="84"/>
              <w:ind w:left="40" w:right="14"/>
              <w:rPr>
                <w:sz w:val="18"/>
              </w:rPr>
            </w:pPr>
            <w:r>
              <w:rPr>
                <w:sz w:val="18"/>
              </w:rPr>
              <w:t>合格</w:t>
            </w:r>
          </w:p>
        </w:tc>
        <w:tc>
          <w:tcPr>
            <w:tcW w:w="936" w:type="dxa"/>
            <w:tcBorders>
              <w:left w:val="single" w:color="000000" w:sz="4" w:space="0"/>
              <w:bottom w:val="single" w:color="000000" w:sz="4" w:space="0"/>
            </w:tcBorders>
          </w:tcPr>
          <w:p>
            <w:pPr>
              <w:pStyle w:val="11"/>
              <w:spacing w:before="84"/>
              <w:ind w:left="277" w:right="239"/>
              <w:rPr>
                <w:sz w:val="18"/>
              </w:rPr>
            </w:pPr>
            <w:r>
              <w:rPr>
                <w:sz w:val="18"/>
              </w:rPr>
              <w:t>合格</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530" w:type="dxa"/>
            <w:tcBorders>
              <w:top w:val="single" w:color="000000" w:sz="4" w:space="0"/>
              <w:bottom w:val="single" w:color="000000" w:sz="4" w:space="0"/>
              <w:right w:val="single" w:color="000000" w:sz="4" w:space="0"/>
            </w:tcBorders>
          </w:tcPr>
          <w:p>
            <w:pPr>
              <w:pStyle w:val="11"/>
              <w:spacing w:before="94"/>
              <w:ind w:left="16"/>
              <w:rPr>
                <w:rFonts w:ascii="Times New Roman"/>
                <w:sz w:val="18"/>
              </w:rPr>
            </w:pPr>
            <w:r>
              <w:rPr>
                <w:rFonts w:ascii="Times New Roman"/>
                <w:sz w:val="18"/>
              </w:rPr>
              <w:t>9</w:t>
            </w:r>
          </w:p>
        </w:tc>
        <w:tc>
          <w:tcPr>
            <w:tcW w:w="1223" w:type="dxa"/>
            <w:tcBorders>
              <w:top w:val="single" w:color="000000" w:sz="4" w:space="0"/>
              <w:left w:val="single" w:color="000000" w:sz="4" w:space="0"/>
              <w:bottom w:val="single" w:color="000000" w:sz="4" w:space="0"/>
              <w:right w:val="single" w:color="000000" w:sz="4" w:space="0"/>
            </w:tcBorders>
          </w:tcPr>
          <w:p>
            <w:pPr>
              <w:pStyle w:val="11"/>
              <w:ind w:left="149" w:right="122"/>
              <w:rPr>
                <w:sz w:val="18"/>
              </w:rPr>
            </w:pPr>
            <w:r>
              <w:rPr>
                <w:sz w:val="18"/>
              </w:rPr>
              <w:t>土袋填筑</w:t>
            </w:r>
          </w:p>
        </w:tc>
        <w:tc>
          <w:tcPr>
            <w:tcW w:w="685" w:type="dxa"/>
            <w:tcBorders>
              <w:top w:val="single" w:color="000000" w:sz="4" w:space="0"/>
              <w:left w:val="single" w:color="000000" w:sz="4" w:space="0"/>
              <w:bottom w:val="single" w:color="000000" w:sz="4" w:space="0"/>
              <w:right w:val="single" w:color="000000" w:sz="4" w:space="0"/>
            </w:tcBorders>
          </w:tcPr>
          <w:p>
            <w:pPr>
              <w:pStyle w:val="11"/>
              <w:spacing w:before="94"/>
              <w:ind w:left="28"/>
              <w:rPr>
                <w:rFonts w:ascii="Times New Roman"/>
                <w:sz w:val="18"/>
              </w:rPr>
            </w:pPr>
            <w:r>
              <w:rPr>
                <w:rFonts w:ascii="Times New Roman"/>
                <w:sz w:val="18"/>
              </w:rPr>
              <w:t>4</w:t>
            </w:r>
          </w:p>
        </w:tc>
        <w:tc>
          <w:tcPr>
            <w:tcW w:w="871" w:type="dxa"/>
            <w:tcBorders>
              <w:top w:val="single" w:color="000000" w:sz="4" w:space="0"/>
              <w:left w:val="single" w:color="000000" w:sz="4" w:space="0"/>
              <w:bottom w:val="single" w:color="000000" w:sz="4" w:space="0"/>
              <w:right w:val="single" w:color="000000" w:sz="4" w:space="0"/>
            </w:tcBorders>
          </w:tcPr>
          <w:p>
            <w:pPr>
              <w:pStyle w:val="11"/>
              <w:spacing w:before="94"/>
              <w:ind w:left="27"/>
              <w:rPr>
                <w:rFonts w:ascii="Times New Roman"/>
                <w:sz w:val="18"/>
              </w:rPr>
            </w:pPr>
            <w:r>
              <w:rPr>
                <w:rFonts w:ascii="Times New Roman"/>
                <w:sz w:val="18"/>
              </w:rPr>
              <w:t>4</w:t>
            </w:r>
          </w:p>
        </w:tc>
        <w:tc>
          <w:tcPr>
            <w:tcW w:w="792" w:type="dxa"/>
            <w:tcBorders>
              <w:top w:val="single" w:color="000000" w:sz="4" w:space="0"/>
              <w:left w:val="single" w:color="000000" w:sz="4" w:space="0"/>
              <w:bottom w:val="single" w:color="000000" w:sz="4" w:space="0"/>
              <w:right w:val="single" w:color="000000" w:sz="4" w:space="0"/>
            </w:tcBorders>
          </w:tcPr>
          <w:p>
            <w:pPr>
              <w:pStyle w:val="11"/>
              <w:ind w:left="224"/>
              <w:jc w:val="left"/>
              <w:rPr>
                <w:sz w:val="18"/>
              </w:rPr>
            </w:pPr>
            <w:r>
              <w:rPr>
                <w:sz w:val="18"/>
              </w:rPr>
              <w:t>合格</w:t>
            </w:r>
          </w:p>
        </w:tc>
        <w:tc>
          <w:tcPr>
            <w:tcW w:w="840" w:type="dxa"/>
            <w:tcBorders>
              <w:top w:val="single" w:color="000000" w:sz="4" w:space="0"/>
              <w:left w:val="single" w:color="000000" w:sz="4" w:space="0"/>
              <w:bottom w:val="single" w:color="000000" w:sz="4" w:space="0"/>
              <w:right w:val="single" w:color="000000" w:sz="4" w:space="0"/>
            </w:tcBorders>
          </w:tcPr>
          <w:p>
            <w:pPr>
              <w:pStyle w:val="11"/>
              <w:spacing w:before="94"/>
              <w:ind w:left="385"/>
              <w:jc w:val="left"/>
              <w:rPr>
                <w:rFonts w:ascii="Times New Roman"/>
                <w:sz w:val="18"/>
              </w:rPr>
            </w:pPr>
            <w:r>
              <w:rPr>
                <w:rFonts w:ascii="Times New Roman"/>
                <w:sz w:val="18"/>
              </w:rPr>
              <w:t>4</w:t>
            </w:r>
          </w:p>
        </w:tc>
        <w:tc>
          <w:tcPr>
            <w:tcW w:w="960" w:type="dxa"/>
            <w:tcBorders>
              <w:top w:val="single" w:color="000000" w:sz="4" w:space="0"/>
              <w:left w:val="single" w:color="000000" w:sz="4" w:space="0"/>
              <w:bottom w:val="single" w:color="000000" w:sz="4" w:space="0"/>
              <w:right w:val="single" w:color="000000" w:sz="4" w:space="0"/>
            </w:tcBorders>
          </w:tcPr>
          <w:p>
            <w:pPr>
              <w:pStyle w:val="11"/>
              <w:ind w:left="92" w:right="66"/>
              <w:rPr>
                <w:sz w:val="18"/>
              </w:rPr>
            </w:pPr>
            <w:r>
              <w:rPr>
                <w:sz w:val="18"/>
              </w:rPr>
              <w:t>合格</w:t>
            </w:r>
          </w:p>
        </w:tc>
        <w:tc>
          <w:tcPr>
            <w:tcW w:w="958" w:type="dxa"/>
            <w:tcBorders>
              <w:top w:val="single" w:color="000000" w:sz="4" w:space="0"/>
              <w:left w:val="single" w:color="000000" w:sz="4" w:space="0"/>
              <w:bottom w:val="single" w:color="000000" w:sz="4" w:space="0"/>
              <w:right w:val="single" w:color="000000" w:sz="4" w:space="0"/>
            </w:tcBorders>
          </w:tcPr>
          <w:p>
            <w:pPr>
              <w:pStyle w:val="11"/>
              <w:spacing w:before="94"/>
              <w:ind w:right="413"/>
              <w:jc w:val="right"/>
              <w:rPr>
                <w:rFonts w:ascii="Times New Roman"/>
                <w:sz w:val="18"/>
              </w:rPr>
            </w:pPr>
            <w:r>
              <w:rPr>
                <w:rFonts w:ascii="Times New Roman"/>
                <w:sz w:val="18"/>
              </w:rPr>
              <w:t>4</w:t>
            </w:r>
          </w:p>
        </w:tc>
        <w:tc>
          <w:tcPr>
            <w:tcW w:w="810" w:type="dxa"/>
            <w:tcBorders>
              <w:top w:val="single" w:color="000000" w:sz="4" w:space="0"/>
              <w:left w:val="single" w:color="000000" w:sz="4" w:space="0"/>
              <w:bottom w:val="single" w:color="000000" w:sz="4" w:space="0"/>
              <w:right w:val="single" w:color="000000" w:sz="4" w:space="0"/>
            </w:tcBorders>
          </w:tcPr>
          <w:p>
            <w:pPr>
              <w:pStyle w:val="11"/>
              <w:ind w:left="40" w:right="14"/>
              <w:rPr>
                <w:sz w:val="18"/>
              </w:rPr>
            </w:pPr>
            <w:r>
              <w:rPr>
                <w:sz w:val="18"/>
              </w:rPr>
              <w:t>合格</w:t>
            </w:r>
          </w:p>
        </w:tc>
        <w:tc>
          <w:tcPr>
            <w:tcW w:w="936" w:type="dxa"/>
            <w:tcBorders>
              <w:top w:val="single" w:color="000000" w:sz="4" w:space="0"/>
              <w:left w:val="single" w:color="000000" w:sz="4" w:space="0"/>
              <w:bottom w:val="single" w:color="000000" w:sz="4" w:space="0"/>
            </w:tcBorders>
          </w:tcPr>
          <w:p>
            <w:pPr>
              <w:pStyle w:val="11"/>
              <w:ind w:left="277" w:right="239"/>
              <w:rPr>
                <w:sz w:val="18"/>
              </w:rPr>
            </w:pPr>
            <w:r>
              <w:rPr>
                <w:sz w:val="18"/>
              </w:rPr>
              <w:t>合格</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530" w:type="dxa"/>
            <w:tcBorders>
              <w:top w:val="single" w:color="000000" w:sz="4" w:space="0"/>
              <w:bottom w:val="single" w:color="000000" w:sz="4" w:space="0"/>
              <w:right w:val="single" w:color="000000" w:sz="4" w:space="0"/>
            </w:tcBorders>
          </w:tcPr>
          <w:p>
            <w:pPr>
              <w:pStyle w:val="11"/>
              <w:spacing w:before="93"/>
              <w:ind w:left="155" w:right="134"/>
              <w:rPr>
                <w:rFonts w:ascii="Times New Roman"/>
                <w:sz w:val="18"/>
              </w:rPr>
            </w:pPr>
            <w:r>
              <w:rPr>
                <w:rFonts w:ascii="Times New Roman"/>
                <w:sz w:val="18"/>
              </w:rPr>
              <w:t>10</w:t>
            </w:r>
          </w:p>
        </w:tc>
        <w:tc>
          <w:tcPr>
            <w:tcW w:w="1223" w:type="dxa"/>
            <w:tcBorders>
              <w:top w:val="single" w:color="000000" w:sz="4" w:space="0"/>
              <w:left w:val="single" w:color="000000" w:sz="4" w:space="0"/>
              <w:bottom w:val="single" w:color="000000" w:sz="4" w:space="0"/>
              <w:right w:val="single" w:color="000000" w:sz="4" w:space="0"/>
            </w:tcBorders>
          </w:tcPr>
          <w:p>
            <w:pPr>
              <w:pStyle w:val="11"/>
              <w:spacing w:before="83"/>
              <w:ind w:left="149" w:right="122"/>
              <w:rPr>
                <w:sz w:val="18"/>
              </w:rPr>
            </w:pPr>
            <w:r>
              <w:rPr>
                <w:sz w:val="18"/>
              </w:rPr>
              <w:t>土袋拆除</w:t>
            </w:r>
          </w:p>
        </w:tc>
        <w:tc>
          <w:tcPr>
            <w:tcW w:w="685" w:type="dxa"/>
            <w:tcBorders>
              <w:top w:val="single" w:color="000000" w:sz="4" w:space="0"/>
              <w:left w:val="single" w:color="000000" w:sz="4" w:space="0"/>
              <w:bottom w:val="single" w:color="000000" w:sz="4" w:space="0"/>
              <w:right w:val="single" w:color="000000" w:sz="4" w:space="0"/>
            </w:tcBorders>
          </w:tcPr>
          <w:p>
            <w:pPr>
              <w:pStyle w:val="11"/>
              <w:spacing w:before="93"/>
              <w:ind w:left="28"/>
              <w:rPr>
                <w:rFonts w:ascii="Times New Roman"/>
                <w:sz w:val="18"/>
              </w:rPr>
            </w:pPr>
            <w:r>
              <w:rPr>
                <w:rFonts w:ascii="Times New Roman"/>
                <w:sz w:val="18"/>
              </w:rPr>
              <w:t>2</w:t>
            </w:r>
          </w:p>
        </w:tc>
        <w:tc>
          <w:tcPr>
            <w:tcW w:w="871" w:type="dxa"/>
            <w:tcBorders>
              <w:top w:val="single" w:color="000000" w:sz="4" w:space="0"/>
              <w:left w:val="single" w:color="000000" w:sz="4" w:space="0"/>
              <w:bottom w:val="single" w:color="000000" w:sz="4" w:space="0"/>
              <w:right w:val="single" w:color="000000" w:sz="4" w:space="0"/>
            </w:tcBorders>
          </w:tcPr>
          <w:p>
            <w:pPr>
              <w:pStyle w:val="11"/>
              <w:spacing w:before="93"/>
              <w:ind w:left="27"/>
              <w:rPr>
                <w:rFonts w:ascii="Times New Roman"/>
                <w:sz w:val="18"/>
              </w:rPr>
            </w:pPr>
            <w:r>
              <w:rPr>
                <w:rFonts w:ascii="Times New Roman"/>
                <w:sz w:val="18"/>
              </w:rPr>
              <w:t>2</w:t>
            </w:r>
          </w:p>
        </w:tc>
        <w:tc>
          <w:tcPr>
            <w:tcW w:w="792" w:type="dxa"/>
            <w:tcBorders>
              <w:top w:val="single" w:color="000000" w:sz="4" w:space="0"/>
              <w:left w:val="single" w:color="000000" w:sz="4" w:space="0"/>
              <w:bottom w:val="single" w:color="000000" w:sz="4" w:space="0"/>
              <w:right w:val="single" w:color="000000" w:sz="4" w:space="0"/>
            </w:tcBorders>
          </w:tcPr>
          <w:p>
            <w:pPr>
              <w:pStyle w:val="11"/>
              <w:spacing w:before="83"/>
              <w:ind w:left="224"/>
              <w:jc w:val="left"/>
              <w:rPr>
                <w:sz w:val="18"/>
              </w:rPr>
            </w:pPr>
            <w:r>
              <w:rPr>
                <w:sz w:val="18"/>
              </w:rPr>
              <w:t>合格</w:t>
            </w:r>
          </w:p>
        </w:tc>
        <w:tc>
          <w:tcPr>
            <w:tcW w:w="840" w:type="dxa"/>
            <w:tcBorders>
              <w:top w:val="single" w:color="000000" w:sz="4" w:space="0"/>
              <w:left w:val="single" w:color="000000" w:sz="4" w:space="0"/>
              <w:bottom w:val="single" w:color="000000" w:sz="4" w:space="0"/>
              <w:right w:val="single" w:color="000000" w:sz="4" w:space="0"/>
            </w:tcBorders>
          </w:tcPr>
          <w:p>
            <w:pPr>
              <w:pStyle w:val="11"/>
              <w:spacing w:before="93"/>
              <w:ind w:left="385"/>
              <w:jc w:val="left"/>
              <w:rPr>
                <w:rFonts w:ascii="Times New Roman"/>
                <w:sz w:val="18"/>
              </w:rPr>
            </w:pPr>
            <w:r>
              <w:rPr>
                <w:rFonts w:ascii="Times New Roman"/>
                <w:sz w:val="18"/>
              </w:rPr>
              <w:t>2</w:t>
            </w:r>
          </w:p>
        </w:tc>
        <w:tc>
          <w:tcPr>
            <w:tcW w:w="960" w:type="dxa"/>
            <w:tcBorders>
              <w:top w:val="single" w:color="000000" w:sz="4" w:space="0"/>
              <w:left w:val="single" w:color="000000" w:sz="4" w:space="0"/>
              <w:bottom w:val="single" w:color="000000" w:sz="4" w:space="0"/>
              <w:right w:val="single" w:color="000000" w:sz="4" w:space="0"/>
            </w:tcBorders>
          </w:tcPr>
          <w:p>
            <w:pPr>
              <w:pStyle w:val="11"/>
              <w:spacing w:before="83"/>
              <w:ind w:left="92" w:right="66"/>
              <w:rPr>
                <w:sz w:val="18"/>
              </w:rPr>
            </w:pPr>
            <w:r>
              <w:rPr>
                <w:sz w:val="18"/>
              </w:rPr>
              <w:t>合格</w:t>
            </w:r>
          </w:p>
        </w:tc>
        <w:tc>
          <w:tcPr>
            <w:tcW w:w="958" w:type="dxa"/>
            <w:tcBorders>
              <w:top w:val="single" w:color="000000" w:sz="4" w:space="0"/>
              <w:left w:val="single" w:color="000000" w:sz="4" w:space="0"/>
              <w:bottom w:val="single" w:color="000000" w:sz="4" w:space="0"/>
              <w:right w:val="single" w:color="000000" w:sz="4" w:space="0"/>
            </w:tcBorders>
          </w:tcPr>
          <w:p>
            <w:pPr>
              <w:pStyle w:val="11"/>
              <w:spacing w:before="93"/>
              <w:ind w:right="413"/>
              <w:jc w:val="right"/>
              <w:rPr>
                <w:rFonts w:ascii="Times New Roman"/>
                <w:sz w:val="18"/>
              </w:rPr>
            </w:pPr>
            <w:r>
              <w:rPr>
                <w:rFonts w:ascii="Times New Roman"/>
                <w:sz w:val="18"/>
              </w:rPr>
              <w:t>2</w:t>
            </w:r>
          </w:p>
        </w:tc>
        <w:tc>
          <w:tcPr>
            <w:tcW w:w="810" w:type="dxa"/>
            <w:tcBorders>
              <w:top w:val="single" w:color="000000" w:sz="4" w:space="0"/>
              <w:left w:val="single" w:color="000000" w:sz="4" w:space="0"/>
              <w:bottom w:val="single" w:color="000000" w:sz="4" w:space="0"/>
              <w:right w:val="single" w:color="000000" w:sz="4" w:space="0"/>
            </w:tcBorders>
          </w:tcPr>
          <w:p>
            <w:pPr>
              <w:pStyle w:val="11"/>
              <w:spacing w:before="83"/>
              <w:ind w:left="40" w:right="14"/>
              <w:rPr>
                <w:sz w:val="18"/>
              </w:rPr>
            </w:pPr>
            <w:r>
              <w:rPr>
                <w:sz w:val="18"/>
              </w:rPr>
              <w:t>合格</w:t>
            </w:r>
          </w:p>
        </w:tc>
        <w:tc>
          <w:tcPr>
            <w:tcW w:w="936" w:type="dxa"/>
            <w:tcBorders>
              <w:top w:val="single" w:color="000000" w:sz="4" w:space="0"/>
              <w:left w:val="single" w:color="000000" w:sz="4" w:space="0"/>
              <w:bottom w:val="single" w:color="000000" w:sz="4" w:space="0"/>
            </w:tcBorders>
          </w:tcPr>
          <w:p>
            <w:pPr>
              <w:pStyle w:val="11"/>
              <w:spacing w:before="83"/>
              <w:ind w:left="277" w:right="239"/>
              <w:rPr>
                <w:sz w:val="18"/>
              </w:rPr>
            </w:pPr>
            <w:r>
              <w:rPr>
                <w:sz w:val="18"/>
              </w:rPr>
              <w:t>合格</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6" w:hRule="atLeast"/>
        </w:trPr>
        <w:tc>
          <w:tcPr>
            <w:tcW w:w="530" w:type="dxa"/>
            <w:tcBorders>
              <w:top w:val="single" w:color="000000" w:sz="4" w:space="0"/>
              <w:bottom w:val="single" w:color="000000" w:sz="4" w:space="0"/>
              <w:right w:val="single" w:color="000000" w:sz="4" w:space="0"/>
            </w:tcBorders>
          </w:tcPr>
          <w:p>
            <w:pPr>
              <w:pStyle w:val="11"/>
              <w:spacing w:before="94"/>
              <w:ind w:left="155" w:right="134"/>
              <w:rPr>
                <w:rFonts w:ascii="Times New Roman"/>
                <w:sz w:val="18"/>
              </w:rPr>
            </w:pPr>
            <w:r>
              <w:rPr>
                <w:rFonts w:ascii="Times New Roman"/>
                <w:sz w:val="18"/>
              </w:rPr>
              <w:t>11</w:t>
            </w:r>
          </w:p>
        </w:tc>
        <w:tc>
          <w:tcPr>
            <w:tcW w:w="1223" w:type="dxa"/>
            <w:tcBorders>
              <w:top w:val="single" w:color="000000" w:sz="4" w:space="0"/>
              <w:left w:val="single" w:color="000000" w:sz="4" w:space="0"/>
              <w:bottom w:val="single" w:color="000000" w:sz="4" w:space="0"/>
              <w:right w:val="single" w:color="000000" w:sz="4" w:space="0"/>
            </w:tcBorders>
          </w:tcPr>
          <w:p>
            <w:pPr>
              <w:pStyle w:val="11"/>
              <w:ind w:left="151" w:right="122"/>
              <w:rPr>
                <w:sz w:val="18"/>
              </w:rPr>
            </w:pPr>
            <w:r>
              <w:rPr>
                <w:sz w:val="18"/>
              </w:rPr>
              <w:t>彩条布铺设</w:t>
            </w:r>
          </w:p>
        </w:tc>
        <w:tc>
          <w:tcPr>
            <w:tcW w:w="685" w:type="dxa"/>
            <w:tcBorders>
              <w:top w:val="single" w:color="000000" w:sz="4" w:space="0"/>
              <w:left w:val="single" w:color="000000" w:sz="4" w:space="0"/>
              <w:bottom w:val="single" w:color="000000" w:sz="4" w:space="0"/>
              <w:right w:val="single" w:color="000000" w:sz="4" w:space="0"/>
            </w:tcBorders>
          </w:tcPr>
          <w:p>
            <w:pPr>
              <w:pStyle w:val="11"/>
              <w:spacing w:before="94"/>
              <w:ind w:left="28"/>
              <w:rPr>
                <w:rFonts w:ascii="Times New Roman"/>
                <w:sz w:val="18"/>
              </w:rPr>
            </w:pPr>
            <w:r>
              <w:rPr>
                <w:rFonts w:ascii="Times New Roman"/>
                <w:sz w:val="18"/>
              </w:rPr>
              <w:t>2</w:t>
            </w:r>
          </w:p>
        </w:tc>
        <w:tc>
          <w:tcPr>
            <w:tcW w:w="871" w:type="dxa"/>
            <w:tcBorders>
              <w:top w:val="single" w:color="000000" w:sz="4" w:space="0"/>
              <w:left w:val="single" w:color="000000" w:sz="4" w:space="0"/>
              <w:bottom w:val="single" w:color="000000" w:sz="4" w:space="0"/>
              <w:right w:val="single" w:color="000000" w:sz="4" w:space="0"/>
            </w:tcBorders>
          </w:tcPr>
          <w:p>
            <w:pPr>
              <w:pStyle w:val="11"/>
              <w:spacing w:before="94"/>
              <w:ind w:left="27"/>
              <w:rPr>
                <w:rFonts w:ascii="Times New Roman"/>
                <w:sz w:val="18"/>
              </w:rPr>
            </w:pPr>
            <w:r>
              <w:rPr>
                <w:rFonts w:ascii="Times New Roman"/>
                <w:sz w:val="18"/>
              </w:rPr>
              <w:t>2</w:t>
            </w:r>
          </w:p>
        </w:tc>
        <w:tc>
          <w:tcPr>
            <w:tcW w:w="792" w:type="dxa"/>
            <w:tcBorders>
              <w:top w:val="single" w:color="000000" w:sz="4" w:space="0"/>
              <w:left w:val="single" w:color="000000" w:sz="4" w:space="0"/>
              <w:bottom w:val="single" w:color="000000" w:sz="4" w:space="0"/>
              <w:right w:val="single" w:color="000000" w:sz="4" w:space="0"/>
            </w:tcBorders>
          </w:tcPr>
          <w:p>
            <w:pPr>
              <w:pStyle w:val="11"/>
              <w:ind w:left="224"/>
              <w:jc w:val="left"/>
              <w:rPr>
                <w:sz w:val="18"/>
              </w:rPr>
            </w:pPr>
            <w:r>
              <w:rPr>
                <w:sz w:val="18"/>
              </w:rPr>
              <w:t>合格</w:t>
            </w:r>
          </w:p>
        </w:tc>
        <w:tc>
          <w:tcPr>
            <w:tcW w:w="840" w:type="dxa"/>
            <w:tcBorders>
              <w:top w:val="single" w:color="000000" w:sz="4" w:space="0"/>
              <w:left w:val="single" w:color="000000" w:sz="4" w:space="0"/>
              <w:bottom w:val="single" w:color="000000" w:sz="4" w:space="0"/>
              <w:right w:val="single" w:color="000000" w:sz="4" w:space="0"/>
            </w:tcBorders>
          </w:tcPr>
          <w:p>
            <w:pPr>
              <w:pStyle w:val="11"/>
              <w:spacing w:before="94"/>
              <w:ind w:left="385"/>
              <w:jc w:val="left"/>
              <w:rPr>
                <w:rFonts w:ascii="Times New Roman"/>
                <w:sz w:val="18"/>
              </w:rPr>
            </w:pPr>
            <w:r>
              <w:rPr>
                <w:rFonts w:ascii="Times New Roman"/>
                <w:sz w:val="18"/>
              </w:rPr>
              <w:t>2</w:t>
            </w:r>
          </w:p>
        </w:tc>
        <w:tc>
          <w:tcPr>
            <w:tcW w:w="960" w:type="dxa"/>
            <w:tcBorders>
              <w:top w:val="single" w:color="000000" w:sz="4" w:space="0"/>
              <w:left w:val="single" w:color="000000" w:sz="4" w:space="0"/>
              <w:bottom w:val="single" w:color="000000" w:sz="4" w:space="0"/>
              <w:right w:val="single" w:color="000000" w:sz="4" w:space="0"/>
            </w:tcBorders>
          </w:tcPr>
          <w:p>
            <w:pPr>
              <w:pStyle w:val="11"/>
              <w:ind w:left="92" w:right="66"/>
              <w:rPr>
                <w:sz w:val="18"/>
              </w:rPr>
            </w:pPr>
            <w:r>
              <w:rPr>
                <w:sz w:val="18"/>
              </w:rPr>
              <w:t>合格</w:t>
            </w:r>
          </w:p>
        </w:tc>
        <w:tc>
          <w:tcPr>
            <w:tcW w:w="958" w:type="dxa"/>
            <w:tcBorders>
              <w:top w:val="single" w:color="000000" w:sz="4" w:space="0"/>
              <w:left w:val="single" w:color="000000" w:sz="4" w:space="0"/>
              <w:bottom w:val="single" w:color="000000" w:sz="4" w:space="0"/>
              <w:right w:val="single" w:color="000000" w:sz="4" w:space="0"/>
            </w:tcBorders>
          </w:tcPr>
          <w:p>
            <w:pPr>
              <w:pStyle w:val="11"/>
              <w:spacing w:before="94"/>
              <w:ind w:right="413"/>
              <w:jc w:val="right"/>
              <w:rPr>
                <w:rFonts w:ascii="Times New Roman"/>
                <w:sz w:val="18"/>
              </w:rPr>
            </w:pPr>
            <w:r>
              <w:rPr>
                <w:rFonts w:ascii="Times New Roman"/>
                <w:sz w:val="18"/>
              </w:rPr>
              <w:t>2</w:t>
            </w:r>
          </w:p>
        </w:tc>
        <w:tc>
          <w:tcPr>
            <w:tcW w:w="810" w:type="dxa"/>
            <w:tcBorders>
              <w:top w:val="single" w:color="000000" w:sz="4" w:space="0"/>
              <w:left w:val="single" w:color="000000" w:sz="4" w:space="0"/>
              <w:bottom w:val="single" w:color="000000" w:sz="4" w:space="0"/>
              <w:right w:val="single" w:color="000000" w:sz="4" w:space="0"/>
            </w:tcBorders>
          </w:tcPr>
          <w:p>
            <w:pPr>
              <w:pStyle w:val="11"/>
              <w:ind w:left="40" w:right="14"/>
              <w:rPr>
                <w:sz w:val="18"/>
              </w:rPr>
            </w:pPr>
            <w:r>
              <w:rPr>
                <w:sz w:val="18"/>
              </w:rPr>
              <w:t>合格</w:t>
            </w:r>
          </w:p>
        </w:tc>
        <w:tc>
          <w:tcPr>
            <w:tcW w:w="936" w:type="dxa"/>
            <w:tcBorders>
              <w:top w:val="single" w:color="000000" w:sz="4" w:space="0"/>
              <w:left w:val="single" w:color="000000" w:sz="4" w:space="0"/>
              <w:bottom w:val="single" w:color="000000" w:sz="4" w:space="0"/>
            </w:tcBorders>
          </w:tcPr>
          <w:p>
            <w:pPr>
              <w:pStyle w:val="11"/>
              <w:ind w:left="277" w:right="239"/>
              <w:rPr>
                <w:sz w:val="18"/>
              </w:rPr>
            </w:pPr>
            <w:r>
              <w:rPr>
                <w:sz w:val="18"/>
              </w:rPr>
              <w:t>合格</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6" w:hRule="atLeast"/>
        </w:trPr>
        <w:tc>
          <w:tcPr>
            <w:tcW w:w="530" w:type="dxa"/>
            <w:tcBorders>
              <w:top w:val="single" w:color="000000" w:sz="4" w:space="0"/>
              <w:right w:val="single" w:color="000000" w:sz="4" w:space="0"/>
            </w:tcBorders>
          </w:tcPr>
          <w:p>
            <w:pPr>
              <w:pStyle w:val="11"/>
              <w:spacing w:before="0"/>
              <w:jc w:val="left"/>
              <w:rPr>
                <w:rFonts w:ascii="Times New Roman"/>
                <w:sz w:val="22"/>
              </w:rPr>
            </w:pPr>
          </w:p>
        </w:tc>
        <w:tc>
          <w:tcPr>
            <w:tcW w:w="1223" w:type="dxa"/>
            <w:tcBorders>
              <w:top w:val="single" w:color="000000" w:sz="4" w:space="0"/>
              <w:left w:val="single" w:color="000000" w:sz="4" w:space="0"/>
              <w:right w:val="single" w:color="000000" w:sz="4" w:space="0"/>
            </w:tcBorders>
          </w:tcPr>
          <w:p>
            <w:pPr>
              <w:pStyle w:val="11"/>
              <w:spacing w:before="83"/>
              <w:ind w:left="149" w:right="122"/>
              <w:rPr>
                <w:sz w:val="18"/>
              </w:rPr>
            </w:pPr>
            <w:r>
              <w:rPr>
                <w:sz w:val="18"/>
              </w:rPr>
              <w:t>质量等级</w:t>
            </w:r>
          </w:p>
        </w:tc>
        <w:tc>
          <w:tcPr>
            <w:tcW w:w="685" w:type="dxa"/>
            <w:tcBorders>
              <w:top w:val="single" w:color="000000" w:sz="4" w:space="0"/>
              <w:left w:val="single" w:color="000000" w:sz="4" w:space="0"/>
              <w:right w:val="single" w:color="000000" w:sz="4" w:space="0"/>
            </w:tcBorders>
          </w:tcPr>
          <w:p>
            <w:pPr>
              <w:pStyle w:val="11"/>
              <w:spacing w:before="0"/>
              <w:jc w:val="left"/>
              <w:rPr>
                <w:rFonts w:ascii="Times New Roman"/>
                <w:sz w:val="22"/>
              </w:rPr>
            </w:pPr>
          </w:p>
        </w:tc>
        <w:tc>
          <w:tcPr>
            <w:tcW w:w="1663" w:type="dxa"/>
            <w:gridSpan w:val="2"/>
            <w:tcBorders>
              <w:top w:val="single" w:color="000000" w:sz="4" w:space="0"/>
              <w:left w:val="single" w:color="000000" w:sz="4" w:space="0"/>
              <w:right w:val="single" w:color="000000" w:sz="4" w:space="0"/>
            </w:tcBorders>
          </w:tcPr>
          <w:p>
            <w:pPr>
              <w:pStyle w:val="11"/>
              <w:spacing w:before="83"/>
              <w:ind w:left="640" w:right="612"/>
              <w:rPr>
                <w:sz w:val="18"/>
              </w:rPr>
            </w:pPr>
            <w:r>
              <w:rPr>
                <w:sz w:val="18"/>
              </w:rPr>
              <w:t>合格</w:t>
            </w:r>
          </w:p>
        </w:tc>
        <w:tc>
          <w:tcPr>
            <w:tcW w:w="1800" w:type="dxa"/>
            <w:gridSpan w:val="2"/>
            <w:tcBorders>
              <w:top w:val="single" w:color="000000" w:sz="4" w:space="0"/>
              <w:left w:val="single" w:color="000000" w:sz="4" w:space="0"/>
              <w:right w:val="single" w:color="000000" w:sz="4" w:space="0"/>
            </w:tcBorders>
          </w:tcPr>
          <w:p>
            <w:pPr>
              <w:pStyle w:val="11"/>
              <w:spacing w:before="83"/>
              <w:ind w:left="708" w:right="682"/>
              <w:rPr>
                <w:sz w:val="18"/>
              </w:rPr>
            </w:pPr>
            <w:r>
              <w:rPr>
                <w:sz w:val="18"/>
              </w:rPr>
              <w:t>合格</w:t>
            </w:r>
          </w:p>
        </w:tc>
        <w:tc>
          <w:tcPr>
            <w:tcW w:w="1768" w:type="dxa"/>
            <w:gridSpan w:val="2"/>
            <w:tcBorders>
              <w:top w:val="single" w:color="000000" w:sz="4" w:space="0"/>
              <w:left w:val="single" w:color="000000" w:sz="4" w:space="0"/>
              <w:right w:val="single" w:color="000000" w:sz="4" w:space="0"/>
            </w:tcBorders>
          </w:tcPr>
          <w:p>
            <w:pPr>
              <w:pStyle w:val="11"/>
              <w:spacing w:before="83"/>
              <w:ind w:left="693" w:right="664"/>
              <w:rPr>
                <w:sz w:val="18"/>
              </w:rPr>
            </w:pPr>
            <w:r>
              <w:rPr>
                <w:sz w:val="18"/>
              </w:rPr>
              <w:t>合格</w:t>
            </w:r>
          </w:p>
        </w:tc>
        <w:tc>
          <w:tcPr>
            <w:tcW w:w="936" w:type="dxa"/>
            <w:tcBorders>
              <w:top w:val="single" w:color="000000" w:sz="4" w:space="0"/>
              <w:left w:val="single" w:color="000000" w:sz="4" w:space="0"/>
            </w:tcBorders>
          </w:tcPr>
          <w:p>
            <w:pPr>
              <w:pStyle w:val="11"/>
              <w:spacing w:before="83"/>
              <w:ind w:left="277" w:right="239"/>
              <w:rPr>
                <w:sz w:val="18"/>
              </w:rPr>
            </w:pPr>
            <w:r>
              <w:rPr>
                <w:sz w:val="18"/>
              </w:rPr>
              <w:t>合格</w:t>
            </w:r>
          </w:p>
        </w:tc>
      </w:tr>
    </w:tbl>
    <w:p>
      <w:pPr>
        <w:pStyle w:val="4"/>
        <w:spacing w:before="9"/>
        <w:rPr>
          <w:rFonts w:ascii="宋体"/>
          <w:b/>
          <w:sz w:val="17"/>
        </w:rPr>
      </w:pPr>
    </w:p>
    <w:p>
      <w:pPr>
        <w:pStyle w:val="3"/>
        <w:spacing w:before="62" w:line="240" w:lineRule="auto"/>
        <w:ind w:left="668"/>
      </w:pPr>
      <w:bookmarkStart w:id="16" w:name="_TOC_250024"/>
      <w:bookmarkEnd w:id="16"/>
      <w:r>
        <w:t>3、质量评定</w:t>
      </w:r>
    </w:p>
    <w:p>
      <w:pPr>
        <w:pStyle w:val="4"/>
        <w:spacing w:before="9"/>
        <w:rPr>
          <w:b/>
          <w:sz w:val="20"/>
        </w:rPr>
      </w:pPr>
    </w:p>
    <w:p>
      <w:pPr>
        <w:pStyle w:val="4"/>
        <w:spacing w:line="417" w:lineRule="auto"/>
        <w:ind w:left="111" w:right="241" w:firstLine="556"/>
        <w:jc w:val="both"/>
      </w:pPr>
      <w:r>
        <w:t>本项目的施工质量评定，严格按照有关规定的要求，采用逐级评定的方法：单元工程—分部工程—单位工程，以检测数据为依据，以验评标准和规范为准则，结合施工过程质量监督检查情况，公平、公正、实事求是地对本项目工程质量作出评定，评定具体分基坑支护、排水工程项目划分及质量评定和绿化工程项目划分质量评定。</w:t>
      </w:r>
    </w:p>
    <w:p>
      <w:pPr>
        <w:tabs>
          <w:tab w:val="left" w:pos="1144"/>
        </w:tabs>
        <w:spacing w:before="104"/>
        <w:ind w:left="0" w:right="113" w:firstLine="0"/>
        <w:jc w:val="center"/>
        <w:rPr>
          <w:rFonts w:hint="eastAsia" w:ascii="宋体" w:eastAsia="宋体"/>
          <w:b/>
          <w:sz w:val="24"/>
        </w:rPr>
      </w:pPr>
      <w:r>
        <w:rPr>
          <w:rFonts w:hint="eastAsia" w:ascii="宋体" w:eastAsia="宋体"/>
          <w:b/>
          <w:sz w:val="24"/>
        </w:rPr>
        <w:t>表</w:t>
      </w:r>
      <w:r>
        <w:rPr>
          <w:rFonts w:hint="eastAsia" w:ascii="宋体" w:eastAsia="宋体"/>
          <w:b/>
          <w:spacing w:val="-62"/>
          <w:sz w:val="24"/>
        </w:rPr>
        <w:t xml:space="preserve"> </w:t>
      </w:r>
      <w:r>
        <w:rPr>
          <w:rFonts w:hint="eastAsia" w:ascii="宋体" w:eastAsia="宋体"/>
          <w:b/>
          <w:sz w:val="24"/>
        </w:rPr>
        <w:t>5-2</w:t>
      </w:r>
      <w:r>
        <w:rPr>
          <w:rFonts w:hint="eastAsia" w:ascii="宋体" w:eastAsia="宋体"/>
          <w:b/>
          <w:sz w:val="24"/>
        </w:rPr>
        <w:tab/>
      </w:r>
      <w:r>
        <w:rPr>
          <w:rFonts w:hint="eastAsia" w:ascii="宋体" w:eastAsia="宋体"/>
          <w:b/>
          <w:sz w:val="24"/>
        </w:rPr>
        <w:t>水土保持工程质量自查初验评定汇总表</w:t>
      </w:r>
    </w:p>
    <w:p>
      <w:pPr>
        <w:pStyle w:val="4"/>
        <w:spacing w:before="2"/>
        <w:rPr>
          <w:rFonts w:ascii="宋体"/>
          <w:b/>
          <w:sz w:val="6"/>
        </w:rPr>
      </w:pPr>
    </w:p>
    <w:tbl>
      <w:tblPr>
        <w:tblStyle w:val="7"/>
        <w:tblW w:w="0" w:type="auto"/>
        <w:tblInd w:w="349"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490"/>
        <w:gridCol w:w="2144"/>
        <w:gridCol w:w="3888"/>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46" w:hRule="atLeast"/>
        </w:trPr>
        <w:tc>
          <w:tcPr>
            <w:tcW w:w="2490" w:type="dxa"/>
            <w:tcBorders>
              <w:bottom w:val="single" w:color="000000" w:sz="4" w:space="0"/>
              <w:right w:val="single" w:color="000000" w:sz="4" w:space="0"/>
            </w:tcBorders>
          </w:tcPr>
          <w:p>
            <w:pPr>
              <w:pStyle w:val="11"/>
              <w:spacing w:before="88"/>
              <w:ind w:left="594" w:right="571"/>
              <w:rPr>
                <w:b/>
                <w:sz w:val="21"/>
              </w:rPr>
            </w:pPr>
            <w:r>
              <w:rPr>
                <w:b/>
                <w:sz w:val="21"/>
              </w:rPr>
              <w:t>单位工程</w:t>
            </w:r>
          </w:p>
        </w:tc>
        <w:tc>
          <w:tcPr>
            <w:tcW w:w="2144" w:type="dxa"/>
            <w:tcBorders>
              <w:left w:val="single" w:color="000000" w:sz="4" w:space="0"/>
              <w:bottom w:val="single" w:color="000000" w:sz="4" w:space="0"/>
              <w:right w:val="single" w:color="000000" w:sz="4" w:space="0"/>
            </w:tcBorders>
          </w:tcPr>
          <w:p>
            <w:pPr>
              <w:pStyle w:val="11"/>
              <w:spacing w:before="88"/>
              <w:ind w:left="610" w:right="579"/>
              <w:rPr>
                <w:b/>
                <w:sz w:val="21"/>
              </w:rPr>
            </w:pPr>
            <w:r>
              <w:rPr>
                <w:b/>
                <w:sz w:val="21"/>
              </w:rPr>
              <w:t>分部工程</w:t>
            </w:r>
          </w:p>
        </w:tc>
        <w:tc>
          <w:tcPr>
            <w:tcW w:w="3888" w:type="dxa"/>
            <w:tcBorders>
              <w:left w:val="single" w:color="000000" w:sz="4" w:space="0"/>
              <w:bottom w:val="single" w:color="000000" w:sz="4" w:space="0"/>
            </w:tcBorders>
          </w:tcPr>
          <w:p>
            <w:pPr>
              <w:pStyle w:val="11"/>
              <w:spacing w:before="88"/>
              <w:ind w:left="882" w:right="837"/>
              <w:rPr>
                <w:b/>
                <w:sz w:val="21"/>
              </w:rPr>
            </w:pPr>
            <w:r>
              <w:rPr>
                <w:b/>
                <w:sz w:val="21"/>
              </w:rPr>
              <w:t>质量自查初验评定结果</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70" w:hRule="atLeast"/>
        </w:trPr>
        <w:tc>
          <w:tcPr>
            <w:tcW w:w="2490" w:type="dxa"/>
            <w:tcBorders>
              <w:top w:val="single" w:color="000000" w:sz="4" w:space="0"/>
              <w:bottom w:val="single" w:color="000000" w:sz="4" w:space="0"/>
              <w:right w:val="single" w:color="000000" w:sz="4" w:space="0"/>
            </w:tcBorders>
          </w:tcPr>
          <w:p>
            <w:pPr>
              <w:pStyle w:val="11"/>
              <w:spacing w:before="3"/>
              <w:jc w:val="left"/>
              <w:rPr>
                <w:b/>
                <w:sz w:val="17"/>
              </w:rPr>
            </w:pPr>
          </w:p>
          <w:p>
            <w:pPr>
              <w:pStyle w:val="11"/>
              <w:spacing w:before="0"/>
              <w:ind w:left="594" w:right="576"/>
              <w:rPr>
                <w:sz w:val="18"/>
              </w:rPr>
            </w:pPr>
            <w:r>
              <w:rPr>
                <w:sz w:val="18"/>
              </w:rPr>
              <w:t>临时抽排水工程</w:t>
            </w:r>
          </w:p>
        </w:tc>
        <w:tc>
          <w:tcPr>
            <w:tcW w:w="2144" w:type="dxa"/>
            <w:tcBorders>
              <w:top w:val="single" w:color="000000" w:sz="4" w:space="0"/>
              <w:left w:val="single" w:color="000000" w:sz="4" w:space="0"/>
              <w:bottom w:val="single" w:color="000000" w:sz="4" w:space="0"/>
              <w:right w:val="single" w:color="000000" w:sz="4" w:space="0"/>
            </w:tcBorders>
          </w:tcPr>
          <w:p>
            <w:pPr>
              <w:pStyle w:val="11"/>
              <w:spacing w:before="3"/>
              <w:jc w:val="left"/>
              <w:rPr>
                <w:b/>
                <w:sz w:val="17"/>
              </w:rPr>
            </w:pPr>
          </w:p>
          <w:p>
            <w:pPr>
              <w:pStyle w:val="11"/>
              <w:spacing w:before="0"/>
              <w:ind w:left="610" w:right="584"/>
              <w:rPr>
                <w:sz w:val="18"/>
              </w:rPr>
            </w:pPr>
            <w:r>
              <w:rPr>
                <w:sz w:val="18"/>
              </w:rPr>
              <w:t>抽排水设备</w:t>
            </w:r>
          </w:p>
        </w:tc>
        <w:tc>
          <w:tcPr>
            <w:tcW w:w="3888" w:type="dxa"/>
            <w:tcBorders>
              <w:top w:val="single" w:color="000000" w:sz="4" w:space="0"/>
              <w:left w:val="single" w:color="000000" w:sz="4" w:space="0"/>
              <w:bottom w:val="single" w:color="000000" w:sz="4" w:space="0"/>
            </w:tcBorders>
          </w:tcPr>
          <w:p>
            <w:pPr>
              <w:pStyle w:val="11"/>
              <w:spacing w:before="3"/>
              <w:jc w:val="left"/>
              <w:rPr>
                <w:b/>
                <w:sz w:val="17"/>
              </w:rPr>
            </w:pPr>
          </w:p>
          <w:p>
            <w:pPr>
              <w:pStyle w:val="11"/>
              <w:spacing w:before="0"/>
              <w:ind w:left="877" w:right="837"/>
              <w:rPr>
                <w:sz w:val="18"/>
              </w:rPr>
            </w:pPr>
            <w:r>
              <w:rPr>
                <w:sz w:val="18"/>
              </w:rPr>
              <w:t>合格</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88" w:hRule="atLeast"/>
        </w:trPr>
        <w:tc>
          <w:tcPr>
            <w:tcW w:w="2490" w:type="dxa"/>
            <w:tcBorders>
              <w:top w:val="single" w:color="000000" w:sz="4" w:space="0"/>
              <w:bottom w:val="single" w:color="000000" w:sz="4" w:space="0"/>
              <w:right w:val="single" w:color="000000" w:sz="4" w:space="0"/>
            </w:tcBorders>
          </w:tcPr>
          <w:p>
            <w:pPr>
              <w:pStyle w:val="11"/>
              <w:spacing w:before="0"/>
              <w:jc w:val="left"/>
              <w:rPr>
                <w:b/>
                <w:sz w:val="14"/>
              </w:rPr>
            </w:pPr>
          </w:p>
          <w:p>
            <w:pPr>
              <w:pStyle w:val="11"/>
              <w:spacing w:before="0"/>
              <w:ind w:left="594" w:right="574"/>
              <w:rPr>
                <w:sz w:val="18"/>
              </w:rPr>
            </w:pPr>
            <w:r>
              <w:rPr>
                <w:sz w:val="18"/>
              </w:rPr>
              <w:t>沉沙工程</w:t>
            </w:r>
          </w:p>
        </w:tc>
        <w:tc>
          <w:tcPr>
            <w:tcW w:w="2144" w:type="dxa"/>
            <w:tcBorders>
              <w:top w:val="single" w:color="000000" w:sz="4" w:space="0"/>
              <w:left w:val="single" w:color="000000" w:sz="4" w:space="0"/>
              <w:bottom w:val="single" w:color="000000" w:sz="4" w:space="0"/>
              <w:right w:val="single" w:color="000000" w:sz="4" w:space="0"/>
            </w:tcBorders>
          </w:tcPr>
          <w:p>
            <w:pPr>
              <w:pStyle w:val="11"/>
              <w:spacing w:before="0"/>
              <w:jc w:val="left"/>
              <w:rPr>
                <w:b/>
                <w:sz w:val="14"/>
              </w:rPr>
            </w:pPr>
          </w:p>
          <w:p>
            <w:pPr>
              <w:pStyle w:val="11"/>
              <w:spacing w:before="0"/>
              <w:ind w:left="610" w:right="584"/>
              <w:rPr>
                <w:sz w:val="18"/>
              </w:rPr>
            </w:pPr>
            <w:r>
              <w:rPr>
                <w:sz w:val="18"/>
              </w:rPr>
              <w:t>移动沉砂池</w:t>
            </w:r>
          </w:p>
        </w:tc>
        <w:tc>
          <w:tcPr>
            <w:tcW w:w="3888" w:type="dxa"/>
            <w:tcBorders>
              <w:top w:val="single" w:color="000000" w:sz="4" w:space="0"/>
              <w:left w:val="single" w:color="000000" w:sz="4" w:space="0"/>
              <w:bottom w:val="single" w:color="000000" w:sz="4" w:space="0"/>
            </w:tcBorders>
          </w:tcPr>
          <w:p>
            <w:pPr>
              <w:pStyle w:val="11"/>
              <w:spacing w:before="0"/>
              <w:jc w:val="left"/>
              <w:rPr>
                <w:b/>
                <w:sz w:val="14"/>
              </w:rPr>
            </w:pPr>
          </w:p>
          <w:p>
            <w:pPr>
              <w:pStyle w:val="11"/>
              <w:spacing w:before="0"/>
              <w:ind w:left="877" w:right="837"/>
              <w:rPr>
                <w:sz w:val="18"/>
              </w:rPr>
            </w:pPr>
            <w:r>
              <w:rPr>
                <w:sz w:val="18"/>
              </w:rPr>
              <w:t>合格</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8" w:hRule="atLeast"/>
        </w:trPr>
        <w:tc>
          <w:tcPr>
            <w:tcW w:w="2490" w:type="dxa"/>
            <w:vMerge w:val="restart"/>
            <w:tcBorders>
              <w:top w:val="single" w:color="000000" w:sz="4" w:space="0"/>
              <w:bottom w:val="single" w:color="000000" w:sz="4" w:space="0"/>
              <w:right w:val="single" w:color="000000" w:sz="4" w:space="0"/>
            </w:tcBorders>
          </w:tcPr>
          <w:p>
            <w:pPr>
              <w:pStyle w:val="11"/>
              <w:spacing w:before="3"/>
              <w:jc w:val="left"/>
              <w:rPr>
                <w:b/>
                <w:sz w:val="20"/>
              </w:rPr>
            </w:pPr>
          </w:p>
          <w:p>
            <w:pPr>
              <w:pStyle w:val="11"/>
              <w:spacing w:before="0"/>
              <w:ind w:left="594" w:right="574"/>
              <w:rPr>
                <w:sz w:val="18"/>
              </w:rPr>
            </w:pPr>
            <w:r>
              <w:rPr>
                <w:sz w:val="18"/>
              </w:rPr>
              <w:t>拦挡工程</w:t>
            </w:r>
          </w:p>
        </w:tc>
        <w:tc>
          <w:tcPr>
            <w:tcW w:w="2144" w:type="dxa"/>
            <w:tcBorders>
              <w:top w:val="single" w:color="000000" w:sz="4" w:space="0"/>
              <w:left w:val="single" w:color="000000" w:sz="4" w:space="0"/>
              <w:bottom w:val="single" w:color="000000" w:sz="4" w:space="0"/>
              <w:right w:val="single" w:color="000000" w:sz="4" w:space="0"/>
            </w:tcBorders>
          </w:tcPr>
          <w:p>
            <w:pPr>
              <w:pStyle w:val="11"/>
              <w:spacing w:before="70"/>
              <w:ind w:left="610" w:right="582"/>
              <w:rPr>
                <w:sz w:val="18"/>
              </w:rPr>
            </w:pPr>
            <w:r>
              <w:rPr>
                <w:sz w:val="18"/>
              </w:rPr>
              <w:t>沙袋填筑</w:t>
            </w:r>
          </w:p>
        </w:tc>
        <w:tc>
          <w:tcPr>
            <w:tcW w:w="3888" w:type="dxa"/>
            <w:tcBorders>
              <w:top w:val="single" w:color="000000" w:sz="4" w:space="0"/>
              <w:left w:val="single" w:color="000000" w:sz="4" w:space="0"/>
              <w:bottom w:val="single" w:color="000000" w:sz="4" w:space="0"/>
            </w:tcBorders>
          </w:tcPr>
          <w:p>
            <w:pPr>
              <w:pStyle w:val="11"/>
              <w:spacing w:before="70"/>
              <w:ind w:left="877" w:right="837"/>
              <w:rPr>
                <w:sz w:val="18"/>
              </w:rPr>
            </w:pPr>
            <w:r>
              <w:rPr>
                <w:sz w:val="18"/>
              </w:rPr>
              <w:t>合格</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8" w:hRule="atLeast"/>
        </w:trPr>
        <w:tc>
          <w:tcPr>
            <w:tcW w:w="2490" w:type="dxa"/>
            <w:vMerge w:val="continue"/>
            <w:tcBorders>
              <w:top w:val="nil"/>
              <w:bottom w:val="single" w:color="000000" w:sz="4" w:space="0"/>
              <w:right w:val="single" w:color="000000" w:sz="4" w:space="0"/>
            </w:tcBorders>
          </w:tcPr>
          <w:p>
            <w:pPr>
              <w:rPr>
                <w:sz w:val="2"/>
                <w:szCs w:val="2"/>
              </w:rPr>
            </w:pPr>
          </w:p>
        </w:tc>
        <w:tc>
          <w:tcPr>
            <w:tcW w:w="2144" w:type="dxa"/>
            <w:tcBorders>
              <w:top w:val="single" w:color="000000" w:sz="4" w:space="0"/>
              <w:left w:val="single" w:color="000000" w:sz="4" w:space="0"/>
              <w:bottom w:val="single" w:color="000000" w:sz="4" w:space="0"/>
              <w:right w:val="single" w:color="000000" w:sz="4" w:space="0"/>
            </w:tcBorders>
          </w:tcPr>
          <w:p>
            <w:pPr>
              <w:pStyle w:val="11"/>
              <w:spacing w:before="68"/>
              <w:ind w:left="610" w:right="582"/>
              <w:rPr>
                <w:sz w:val="18"/>
              </w:rPr>
            </w:pPr>
            <w:r>
              <w:rPr>
                <w:sz w:val="18"/>
              </w:rPr>
              <w:t>沙袋拆除</w:t>
            </w:r>
          </w:p>
        </w:tc>
        <w:tc>
          <w:tcPr>
            <w:tcW w:w="3888" w:type="dxa"/>
            <w:tcBorders>
              <w:top w:val="single" w:color="000000" w:sz="4" w:space="0"/>
              <w:left w:val="single" w:color="000000" w:sz="4" w:space="0"/>
              <w:bottom w:val="single" w:color="000000" w:sz="4" w:space="0"/>
            </w:tcBorders>
          </w:tcPr>
          <w:p>
            <w:pPr>
              <w:pStyle w:val="11"/>
              <w:spacing w:before="68"/>
              <w:ind w:left="877" w:right="837"/>
              <w:rPr>
                <w:sz w:val="18"/>
              </w:rPr>
            </w:pPr>
            <w:r>
              <w:rPr>
                <w:sz w:val="18"/>
              </w:rPr>
              <w:t>合格</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8" w:hRule="atLeast"/>
        </w:trPr>
        <w:tc>
          <w:tcPr>
            <w:tcW w:w="2490" w:type="dxa"/>
            <w:tcBorders>
              <w:top w:val="single" w:color="000000" w:sz="4" w:space="0"/>
              <w:right w:val="single" w:color="000000" w:sz="4" w:space="0"/>
            </w:tcBorders>
          </w:tcPr>
          <w:p>
            <w:pPr>
              <w:pStyle w:val="11"/>
              <w:spacing w:before="159"/>
              <w:ind w:left="594" w:right="574"/>
              <w:rPr>
                <w:sz w:val="18"/>
              </w:rPr>
            </w:pPr>
            <w:r>
              <w:rPr>
                <w:sz w:val="18"/>
              </w:rPr>
              <w:t>覆盖工程</w:t>
            </w:r>
          </w:p>
        </w:tc>
        <w:tc>
          <w:tcPr>
            <w:tcW w:w="2144" w:type="dxa"/>
            <w:tcBorders>
              <w:top w:val="single" w:color="000000" w:sz="4" w:space="0"/>
              <w:left w:val="single" w:color="000000" w:sz="4" w:space="0"/>
              <w:right w:val="single" w:color="000000" w:sz="4" w:space="0"/>
            </w:tcBorders>
          </w:tcPr>
          <w:p>
            <w:pPr>
              <w:pStyle w:val="11"/>
              <w:spacing w:before="159"/>
              <w:ind w:left="610" w:right="584"/>
              <w:rPr>
                <w:sz w:val="18"/>
              </w:rPr>
            </w:pPr>
            <w:r>
              <w:rPr>
                <w:sz w:val="18"/>
              </w:rPr>
              <w:t>彩条布铺设</w:t>
            </w:r>
          </w:p>
        </w:tc>
        <w:tc>
          <w:tcPr>
            <w:tcW w:w="3888" w:type="dxa"/>
            <w:tcBorders>
              <w:top w:val="single" w:color="000000" w:sz="4" w:space="0"/>
              <w:left w:val="single" w:color="000000" w:sz="4" w:space="0"/>
            </w:tcBorders>
          </w:tcPr>
          <w:p>
            <w:pPr>
              <w:pStyle w:val="11"/>
              <w:spacing w:before="159"/>
              <w:ind w:left="877" w:right="837"/>
              <w:rPr>
                <w:sz w:val="18"/>
              </w:rPr>
            </w:pPr>
            <w:r>
              <w:rPr>
                <w:sz w:val="18"/>
              </w:rPr>
              <w:t>合格</w:t>
            </w:r>
          </w:p>
        </w:tc>
      </w:tr>
    </w:tbl>
    <w:p>
      <w:pPr>
        <w:pStyle w:val="4"/>
        <w:spacing w:before="9"/>
        <w:rPr>
          <w:rFonts w:ascii="宋体"/>
          <w:b/>
          <w:sz w:val="22"/>
        </w:rPr>
      </w:pPr>
    </w:p>
    <w:p>
      <w:pPr>
        <w:pStyle w:val="3"/>
        <w:spacing w:line="240" w:lineRule="auto"/>
        <w:ind w:left="684"/>
      </w:pPr>
      <w:bookmarkStart w:id="17" w:name="_TOC_250023"/>
      <w:bookmarkEnd w:id="17"/>
      <w:r>
        <w:t>4、结论</w:t>
      </w:r>
    </w:p>
    <w:p>
      <w:pPr>
        <w:pStyle w:val="4"/>
        <w:spacing w:before="9"/>
        <w:rPr>
          <w:b/>
          <w:sz w:val="20"/>
        </w:rPr>
      </w:pPr>
    </w:p>
    <w:p>
      <w:pPr>
        <w:pStyle w:val="4"/>
        <w:spacing w:line="417" w:lineRule="auto"/>
        <w:ind w:left="111" w:right="102" w:firstLine="556"/>
      </w:pPr>
      <w:r>
        <w:rPr>
          <w:spacing w:val="-12"/>
        </w:rPr>
        <w:t>本项目水土保持工程经检测评定，水土保持工程质量综合评价为合格。就整个水土保持工程而言，工程质量均符合工程设计要求，达到国家标准。</w:t>
      </w:r>
    </w:p>
    <w:p>
      <w:pPr>
        <w:spacing w:after="0" w:line="417" w:lineRule="auto"/>
        <w:sectPr>
          <w:footerReference r:id="rId8" w:type="default"/>
          <w:pgSz w:w="11910" w:h="16840"/>
          <w:pgMar w:top="1300" w:right="1160" w:bottom="1200" w:left="1420" w:header="878" w:footer="1005" w:gutter="0"/>
          <w:pgNumType w:start="20"/>
          <w:cols w:space="720" w:num="1"/>
        </w:sectPr>
      </w:pPr>
    </w:p>
    <w:p>
      <w:pPr>
        <w:pStyle w:val="4"/>
        <w:spacing w:before="7"/>
        <w:rPr>
          <w:sz w:val="8"/>
        </w:rPr>
      </w:pPr>
    </w:p>
    <w:p>
      <w:pPr>
        <w:pStyle w:val="2"/>
      </w:pPr>
      <w:bookmarkStart w:id="18" w:name="_TOC_250022"/>
      <w:bookmarkEnd w:id="18"/>
      <w:r>
        <w:t>六、水土保持监测</w:t>
      </w:r>
    </w:p>
    <w:p>
      <w:pPr>
        <w:pStyle w:val="4"/>
        <w:spacing w:before="253"/>
        <w:ind w:left="668"/>
      </w:pPr>
      <w:r>
        <w:t>本项目施工期间并未委托单位或自行进行水土保持监测工作。</w:t>
      </w:r>
    </w:p>
    <w:p>
      <w:pPr>
        <w:spacing w:after="0"/>
        <w:sectPr>
          <w:pgSz w:w="11910" w:h="16840"/>
          <w:pgMar w:top="1300" w:right="1160" w:bottom="1200" w:left="1420" w:header="878" w:footer="1005" w:gutter="0"/>
          <w:cols w:space="720" w:num="1"/>
        </w:sectPr>
      </w:pPr>
    </w:p>
    <w:p>
      <w:pPr>
        <w:pStyle w:val="4"/>
        <w:spacing w:before="7"/>
        <w:rPr>
          <w:sz w:val="8"/>
        </w:rPr>
      </w:pPr>
    </w:p>
    <w:p>
      <w:pPr>
        <w:pStyle w:val="2"/>
      </w:pPr>
      <w:bookmarkStart w:id="19" w:name="_TOC_250021"/>
      <w:bookmarkEnd w:id="19"/>
      <w:r>
        <w:t>七、水土保持监理</w:t>
      </w:r>
    </w:p>
    <w:p>
      <w:pPr>
        <w:pStyle w:val="4"/>
        <w:spacing w:before="12"/>
        <w:rPr>
          <w:rFonts w:ascii="黑体"/>
          <w:b/>
          <w:sz w:val="31"/>
        </w:rPr>
      </w:pPr>
    </w:p>
    <w:p>
      <w:pPr>
        <w:pStyle w:val="4"/>
        <w:spacing w:line="417" w:lineRule="auto"/>
        <w:ind w:left="111" w:right="241" w:firstLine="559"/>
        <w:jc w:val="both"/>
      </w:pPr>
      <w:r>
        <w:rPr>
          <w:spacing w:val="-3"/>
        </w:rPr>
        <w:t>建设单位通过招标确定由深圳市水务咨询有限公司承担深圳市龙岗区龙城街道龙西社区雨污分流管网工程项目施工阶段监理任务，监理单位中标后及时成立了深圳市龙岗区龙城街道龙西社区雨污分流管网工程项目监</w:t>
      </w:r>
      <w:r>
        <w:rPr>
          <w:spacing w:val="-29"/>
        </w:rPr>
        <w:t xml:space="preserve">理部，于 </w:t>
      </w:r>
      <w:r>
        <w:t>2016</w:t>
      </w:r>
      <w:r>
        <w:rPr>
          <w:spacing w:val="-46"/>
        </w:rPr>
        <w:t xml:space="preserve"> 年 </w:t>
      </w:r>
      <w:r>
        <w:t>9</w:t>
      </w:r>
      <w:r>
        <w:rPr>
          <w:spacing w:val="-23"/>
        </w:rPr>
        <w:t xml:space="preserve"> 月进入工地现场，至 </w:t>
      </w:r>
      <w:r>
        <w:t>2019</w:t>
      </w:r>
      <w:r>
        <w:rPr>
          <w:spacing w:val="-47"/>
        </w:rPr>
        <w:t xml:space="preserve"> 年 </w:t>
      </w:r>
      <w:r>
        <w:t>10</w:t>
      </w:r>
      <w:r>
        <w:rPr>
          <w:spacing w:val="-10"/>
        </w:rPr>
        <w:t xml:space="preserve"> 月本项目完工后结束工</w:t>
      </w:r>
      <w:r>
        <w:rPr>
          <w:spacing w:val="-3"/>
        </w:rPr>
        <w:t>作。依据《深圳市龙岗区龙城街道龙西社区雨污分流管网工程项目监理合</w:t>
      </w:r>
      <w:r>
        <w:rPr>
          <w:spacing w:val="-19"/>
        </w:rPr>
        <w:t>同书》，本项目建设区水土保持方案各项防治措施的监理工作均由项目监理</w:t>
      </w:r>
      <w:r>
        <w:rPr>
          <w:spacing w:val="-3"/>
        </w:rPr>
        <w:t>部管理，统筹安排开展各项具体工作。根据合同要求，监理设一级监理机构管理：即总监理工程师办公室，由总监理工程师全面负责日常工作，下设工程部、合同部、综合部、中心试验室和驻地组。监理部实行总监理工程师负责制，监理人员严格按照质量控制、进度控制、合同管理、信息管理、组织协调的监理工作程序，履行工程监理合同约定的各项任务。水土保持监理工作总体目标为：在发包人的委托和支持下，以《监理合同》和</w:t>
      </w:r>
    </w:p>
    <w:p>
      <w:pPr>
        <w:pStyle w:val="4"/>
        <w:spacing w:line="417" w:lineRule="auto"/>
        <w:ind w:left="111" w:right="102"/>
      </w:pPr>
      <w:r>
        <w:rPr>
          <w:spacing w:val="-13"/>
        </w:rPr>
        <w:t xml:space="preserve">《施工合同》为依据，采取必要和有效的组织措施、技术措施、经济措施， </w:t>
      </w:r>
      <w:r>
        <w:rPr>
          <w:spacing w:val="-6"/>
        </w:rPr>
        <w:t>通过承包商的实施，确保水土保持防护符合国家有关规程、规范，满足水</w:t>
      </w:r>
      <w:r>
        <w:rPr>
          <w:spacing w:val="-3"/>
        </w:rPr>
        <w:t>保设计文件要求。</w:t>
      </w:r>
    </w:p>
    <w:p>
      <w:pPr>
        <w:pStyle w:val="3"/>
      </w:pPr>
      <w:bookmarkStart w:id="20" w:name="_TOC_250020"/>
      <w:bookmarkEnd w:id="20"/>
      <w:r>
        <w:t>1、工作的范围、内容和职责</w:t>
      </w:r>
    </w:p>
    <w:p>
      <w:pPr>
        <w:pStyle w:val="4"/>
        <w:spacing w:before="6"/>
        <w:rPr>
          <w:b/>
          <w:sz w:val="20"/>
        </w:rPr>
      </w:pPr>
    </w:p>
    <w:p>
      <w:pPr>
        <w:pStyle w:val="10"/>
        <w:numPr>
          <w:ilvl w:val="0"/>
          <w:numId w:val="11"/>
        </w:numPr>
        <w:tabs>
          <w:tab w:val="left" w:pos="1373"/>
        </w:tabs>
        <w:spacing w:before="0" w:after="0" w:line="417" w:lineRule="auto"/>
        <w:ind w:left="111" w:right="243" w:firstLine="559"/>
        <w:jc w:val="both"/>
        <w:rPr>
          <w:sz w:val="28"/>
        </w:rPr>
      </w:pPr>
      <w:r>
        <w:rPr>
          <w:spacing w:val="-7"/>
          <w:sz w:val="28"/>
        </w:rPr>
        <w:t>监理工程师熟悉了解合同文件</w:t>
      </w:r>
      <w:r>
        <w:rPr>
          <w:sz w:val="28"/>
        </w:rPr>
        <w:t>（</w:t>
      </w:r>
      <w:r>
        <w:rPr>
          <w:spacing w:val="-3"/>
          <w:sz w:val="28"/>
        </w:rPr>
        <w:t>含全部设计文件</w:t>
      </w:r>
      <w:r>
        <w:rPr>
          <w:spacing w:val="-46"/>
          <w:sz w:val="28"/>
        </w:rPr>
        <w:t>）</w:t>
      </w:r>
      <w:r>
        <w:rPr>
          <w:spacing w:val="-3"/>
          <w:sz w:val="28"/>
        </w:rPr>
        <w:t>中专门列入的水土保持工程内容。掌握合同设计文件中水土保持措施及要求。督促施工单位严格执行深圳市龙岗区环境保护和水务局对本项目水保报告书的审查意见复函及深圳市地方性法规。</w:t>
      </w:r>
    </w:p>
    <w:p>
      <w:pPr>
        <w:pStyle w:val="10"/>
        <w:numPr>
          <w:ilvl w:val="0"/>
          <w:numId w:val="11"/>
        </w:numPr>
        <w:tabs>
          <w:tab w:val="left" w:pos="1373"/>
        </w:tabs>
        <w:spacing w:before="0" w:after="0" w:line="358" w:lineRule="exact"/>
        <w:ind w:left="1372" w:right="0" w:hanging="703"/>
        <w:jc w:val="left"/>
        <w:rPr>
          <w:sz w:val="28"/>
        </w:rPr>
      </w:pPr>
      <w:r>
        <w:rPr>
          <w:spacing w:val="-8"/>
          <w:sz w:val="28"/>
        </w:rPr>
        <w:t>监理工程师审查施工组织设计时，对施工单位在工程施工中的水</w:t>
      </w:r>
    </w:p>
    <w:p>
      <w:pPr>
        <w:spacing w:after="0" w:line="358" w:lineRule="exact"/>
        <w:jc w:val="left"/>
        <w:rPr>
          <w:sz w:val="28"/>
        </w:rPr>
        <w:sectPr>
          <w:pgSz w:w="11910" w:h="16840"/>
          <w:pgMar w:top="1300" w:right="1160" w:bottom="1200" w:left="1420" w:header="878" w:footer="1005" w:gutter="0"/>
          <w:cols w:space="720" w:num="1"/>
        </w:sectPr>
      </w:pPr>
    </w:p>
    <w:p>
      <w:pPr>
        <w:pStyle w:val="4"/>
        <w:spacing w:before="4"/>
        <w:rPr>
          <w:sz w:val="9"/>
        </w:rPr>
      </w:pPr>
    </w:p>
    <w:p>
      <w:pPr>
        <w:pStyle w:val="4"/>
        <w:spacing w:before="61" w:line="417" w:lineRule="auto"/>
        <w:ind w:left="111" w:right="243"/>
      </w:pPr>
      <w:r>
        <w:t>土保持措施、方案、实施办法进行审核。符合相关规定，由监理工程师提出审核意见，报总监理工程师批准。</w:t>
      </w:r>
    </w:p>
    <w:p>
      <w:pPr>
        <w:pStyle w:val="10"/>
        <w:numPr>
          <w:ilvl w:val="0"/>
          <w:numId w:val="11"/>
        </w:numPr>
        <w:tabs>
          <w:tab w:val="left" w:pos="1373"/>
        </w:tabs>
        <w:spacing w:before="0" w:after="0" w:line="417" w:lineRule="auto"/>
        <w:ind w:left="111" w:right="243" w:firstLine="559"/>
        <w:jc w:val="left"/>
        <w:rPr>
          <w:sz w:val="28"/>
        </w:rPr>
      </w:pPr>
      <w:r>
        <w:rPr>
          <w:spacing w:val="-6"/>
          <w:sz w:val="28"/>
        </w:rPr>
        <w:t>审查施工单位现场的水土保持组织机构专职人员、水土保持措</w:t>
      </w:r>
      <w:r>
        <w:rPr>
          <w:spacing w:val="-3"/>
          <w:sz w:val="28"/>
        </w:rPr>
        <w:t>施及相关制度的建立，是否符合要求。</w:t>
      </w:r>
    </w:p>
    <w:p>
      <w:pPr>
        <w:pStyle w:val="10"/>
        <w:numPr>
          <w:ilvl w:val="0"/>
          <w:numId w:val="11"/>
        </w:numPr>
        <w:tabs>
          <w:tab w:val="left" w:pos="1373"/>
        </w:tabs>
        <w:spacing w:before="0" w:after="0" w:line="417" w:lineRule="auto"/>
        <w:ind w:left="111" w:right="111" w:firstLine="559"/>
        <w:jc w:val="left"/>
        <w:rPr>
          <w:sz w:val="28"/>
        </w:rPr>
      </w:pPr>
      <w:r>
        <w:rPr>
          <w:spacing w:val="-3"/>
          <w:sz w:val="28"/>
        </w:rPr>
        <w:t>施工过程中监理工程师对施工单位水土保持措施进行跟踪检查， 对水土保持措施实施进行检查及验收。</w:t>
      </w:r>
    </w:p>
    <w:p>
      <w:pPr>
        <w:pStyle w:val="3"/>
        <w:ind w:left="668"/>
      </w:pPr>
      <w:bookmarkStart w:id="21" w:name="_TOC_250019"/>
      <w:bookmarkEnd w:id="21"/>
      <w:r>
        <w:t>2、质量控制</w:t>
      </w:r>
    </w:p>
    <w:p>
      <w:pPr>
        <w:pStyle w:val="4"/>
        <w:spacing w:before="8"/>
        <w:rPr>
          <w:b/>
          <w:sz w:val="20"/>
        </w:rPr>
      </w:pPr>
    </w:p>
    <w:p>
      <w:pPr>
        <w:pStyle w:val="4"/>
        <w:spacing w:before="1" w:line="417" w:lineRule="auto"/>
        <w:ind w:left="111" w:right="243" w:firstLine="559"/>
        <w:jc w:val="both"/>
      </w:pPr>
      <w:r>
        <w:t>工程质量控制是工程建设监理三大控制的核心。在施工过程中，监理工程师始终把质量控制作为监理工作的重点，坚持“预控在先、严格过程控制、做好事后控制”的原则，对工程实施全过程、全方位监理。</w:t>
      </w:r>
    </w:p>
    <w:p>
      <w:pPr>
        <w:pStyle w:val="10"/>
        <w:numPr>
          <w:ilvl w:val="0"/>
          <w:numId w:val="12"/>
        </w:numPr>
        <w:tabs>
          <w:tab w:val="left" w:pos="1373"/>
        </w:tabs>
        <w:spacing w:before="0" w:after="0" w:line="417" w:lineRule="auto"/>
        <w:ind w:left="111" w:right="241" w:firstLine="559"/>
        <w:jc w:val="both"/>
        <w:rPr>
          <w:sz w:val="28"/>
        </w:rPr>
      </w:pPr>
      <w:r>
        <w:rPr>
          <w:spacing w:val="-8"/>
          <w:sz w:val="28"/>
        </w:rPr>
        <w:t>严格每个项目开工条件的审查，首先做好各施工队的施工组织</w:t>
      </w:r>
      <w:r>
        <w:rPr>
          <w:spacing w:val="-3"/>
          <w:sz w:val="28"/>
        </w:rPr>
        <w:t>设计的审批工作，促使承包商的质量保证体系和施工安全保证体系的完善，促使承包商施工资源投入到位，施工措施和施工计划落实到位。监理工程师按专业编制检验项目的划分表，明确每个检验项目的检测方法，并向</w:t>
      </w:r>
      <w:r>
        <w:rPr>
          <w:spacing w:val="-2"/>
          <w:sz w:val="28"/>
        </w:rPr>
        <w:t>承包商进行交底。</w:t>
      </w:r>
    </w:p>
    <w:p>
      <w:pPr>
        <w:pStyle w:val="10"/>
        <w:numPr>
          <w:ilvl w:val="0"/>
          <w:numId w:val="12"/>
        </w:numPr>
        <w:tabs>
          <w:tab w:val="left" w:pos="1373"/>
        </w:tabs>
        <w:spacing w:before="0" w:after="0" w:line="417" w:lineRule="auto"/>
        <w:ind w:left="111" w:right="102" w:firstLine="559"/>
        <w:jc w:val="left"/>
        <w:rPr>
          <w:sz w:val="28"/>
        </w:rPr>
      </w:pPr>
      <w:r>
        <w:rPr>
          <w:spacing w:val="-16"/>
          <w:sz w:val="28"/>
        </w:rPr>
        <w:t>对施工过程严格控制。上道工序不合格，不得进行下道工序施工</w:t>
      </w:r>
      <w:r>
        <w:rPr>
          <w:spacing w:val="-8"/>
          <w:sz w:val="28"/>
        </w:rPr>
        <w:t>，对重要的施工部位和关键工序，指派专人旁站监理，同时加强施工过程</w:t>
      </w:r>
      <w:r>
        <w:rPr>
          <w:spacing w:val="-3"/>
          <w:sz w:val="28"/>
        </w:rPr>
        <w:t>中的巡检，监理人员随时掌握各自工作范围内的施工进度，劳力、施工机械布置，施工工艺实施、施工质量和施工安全状况等，发现问题及时予以口头制止或改正返工或以书面形式提出整改意见和要求。对于重大问题及</w:t>
      </w:r>
      <w:r>
        <w:rPr>
          <w:spacing w:val="-10"/>
          <w:sz w:val="28"/>
        </w:rPr>
        <w:t>时向项目法人报告或向设计人员反映，情况严重时，在征得项目法人同意后</w:t>
      </w:r>
      <w:r>
        <w:rPr>
          <w:spacing w:val="-6"/>
          <w:sz w:val="28"/>
        </w:rPr>
        <w:t>，由监理工程师签发停工令，责令施工单位停工整改，直至符合设计和规</w:t>
      </w:r>
      <w:r>
        <w:rPr>
          <w:sz w:val="28"/>
        </w:rPr>
        <w:t>程</w:t>
      </w:r>
    </w:p>
    <w:p>
      <w:pPr>
        <w:spacing w:after="0" w:line="417" w:lineRule="auto"/>
        <w:jc w:val="left"/>
        <w:rPr>
          <w:sz w:val="28"/>
        </w:rPr>
        <w:sectPr>
          <w:pgSz w:w="11910" w:h="16840"/>
          <w:pgMar w:top="1300" w:right="1160" w:bottom="1200" w:left="1420" w:header="878" w:footer="1005" w:gutter="0"/>
          <w:cols w:space="720" w:num="1"/>
        </w:sectPr>
      </w:pPr>
    </w:p>
    <w:p>
      <w:pPr>
        <w:pStyle w:val="4"/>
        <w:spacing w:before="4"/>
        <w:rPr>
          <w:sz w:val="9"/>
        </w:rPr>
      </w:pPr>
    </w:p>
    <w:p>
      <w:pPr>
        <w:pStyle w:val="4"/>
        <w:spacing w:before="61"/>
        <w:ind w:left="111"/>
      </w:pPr>
      <w:r>
        <w:t>规范为止。</w:t>
      </w:r>
    </w:p>
    <w:p>
      <w:pPr>
        <w:pStyle w:val="4"/>
        <w:spacing w:before="9"/>
        <w:rPr>
          <w:sz w:val="20"/>
        </w:rPr>
      </w:pPr>
    </w:p>
    <w:p>
      <w:pPr>
        <w:pStyle w:val="10"/>
        <w:numPr>
          <w:ilvl w:val="0"/>
          <w:numId w:val="12"/>
        </w:numPr>
        <w:tabs>
          <w:tab w:val="left" w:pos="1373"/>
        </w:tabs>
        <w:spacing w:before="0" w:after="0" w:line="417" w:lineRule="auto"/>
        <w:ind w:left="111" w:right="102" w:firstLine="559"/>
        <w:jc w:val="left"/>
        <w:rPr>
          <w:sz w:val="28"/>
        </w:rPr>
      </w:pPr>
      <w:r>
        <w:rPr>
          <w:spacing w:val="-6"/>
          <w:sz w:val="28"/>
        </w:rPr>
        <w:t>对承包商质量保证体系进行经常性检查并实施动态控制。对于承</w:t>
      </w:r>
      <w:r>
        <w:rPr>
          <w:spacing w:val="-4"/>
          <w:sz w:val="28"/>
        </w:rPr>
        <w:t>包商质量保证体系不足之处，通过协调会、专题会，监理通知等形式给予</w:t>
      </w:r>
      <w:r>
        <w:rPr>
          <w:spacing w:val="-3"/>
          <w:sz w:val="28"/>
        </w:rPr>
        <w:t>指出并提出整改意见和要求，促使承包商的质量保证体系不断完善，对于</w:t>
      </w:r>
      <w:r>
        <w:rPr>
          <w:spacing w:val="-23"/>
          <w:sz w:val="28"/>
        </w:rPr>
        <w:t xml:space="preserve">单元工程验收，要求承包商严格执行施工质量“三级检查制”，通过“三检” </w:t>
      </w:r>
      <w:r>
        <w:rPr>
          <w:spacing w:val="-8"/>
          <w:sz w:val="28"/>
        </w:rPr>
        <w:t>以后才能向监理工程师申请检查验收。监理工程师按质量检验项目划分表</w:t>
      </w:r>
      <w:r>
        <w:rPr>
          <w:spacing w:val="-3"/>
          <w:sz w:val="28"/>
        </w:rPr>
        <w:t>和规范规定，进行复核检查验收。</w:t>
      </w:r>
    </w:p>
    <w:p>
      <w:pPr>
        <w:pStyle w:val="10"/>
        <w:numPr>
          <w:ilvl w:val="0"/>
          <w:numId w:val="12"/>
        </w:numPr>
        <w:tabs>
          <w:tab w:val="left" w:pos="1373"/>
        </w:tabs>
        <w:spacing w:before="0" w:after="0" w:line="417" w:lineRule="auto"/>
        <w:ind w:left="111" w:right="241" w:firstLine="559"/>
        <w:jc w:val="both"/>
        <w:rPr>
          <w:sz w:val="28"/>
        </w:rPr>
      </w:pPr>
      <w:r>
        <w:rPr>
          <w:spacing w:val="-10"/>
          <w:sz w:val="28"/>
        </w:rPr>
        <w:t>对主要原材料、构(配)件质量实施监控。工程使用的钢筋、钢</w:t>
      </w:r>
      <w:r>
        <w:rPr>
          <w:spacing w:val="-3"/>
          <w:sz w:val="28"/>
        </w:rPr>
        <w:t>材等承包商自行采购的原材料，由监理工程师现场监督施工单位收集，整理材料质保书和厂家试验报告，按照规范要求对其抽查检验合格后才允许施工单位投入工程中使用。同时对砼、砂浆及焊接钢筋等构配件的施工质量进行监控，监督砼生产系统处于受控状态。</w:t>
      </w:r>
    </w:p>
    <w:p>
      <w:pPr>
        <w:pStyle w:val="10"/>
        <w:numPr>
          <w:ilvl w:val="0"/>
          <w:numId w:val="12"/>
        </w:numPr>
        <w:tabs>
          <w:tab w:val="left" w:pos="1373"/>
        </w:tabs>
        <w:spacing w:before="0" w:after="0" w:line="417" w:lineRule="auto"/>
        <w:ind w:left="111" w:right="243" w:firstLine="559"/>
        <w:jc w:val="both"/>
        <w:rPr>
          <w:sz w:val="28"/>
        </w:rPr>
      </w:pPr>
      <w:r>
        <w:rPr>
          <w:spacing w:val="-11"/>
          <w:sz w:val="28"/>
        </w:rPr>
        <w:t xml:space="preserve">施工高峰期，每旬召开一次监理例会，对施工质量进行分析， </w:t>
      </w:r>
      <w:r>
        <w:rPr>
          <w:spacing w:val="-3"/>
          <w:sz w:val="28"/>
        </w:rPr>
        <w:t>以检验监理部质量监控效果和承包商质量管理情况，对存在问题进行分析，提出处理措施或改进意见。</w:t>
      </w:r>
    </w:p>
    <w:p>
      <w:pPr>
        <w:pStyle w:val="10"/>
        <w:numPr>
          <w:ilvl w:val="0"/>
          <w:numId w:val="12"/>
        </w:numPr>
        <w:tabs>
          <w:tab w:val="left" w:pos="1370"/>
        </w:tabs>
        <w:spacing w:before="0" w:after="0" w:line="417" w:lineRule="auto"/>
        <w:ind w:left="111" w:right="241" w:firstLine="556"/>
        <w:jc w:val="left"/>
        <w:rPr>
          <w:sz w:val="28"/>
        </w:rPr>
      </w:pPr>
      <w:r>
        <w:rPr>
          <w:spacing w:val="-8"/>
          <w:sz w:val="28"/>
        </w:rPr>
        <w:t>督促承包商做好质量缺陷的处理。对于外观质量缺陷，要求承</w:t>
      </w:r>
      <w:r>
        <w:rPr>
          <w:spacing w:val="-5"/>
          <w:sz w:val="28"/>
        </w:rPr>
        <w:t>包商按照合同规定的程序处理，处理完善后报监理工程师复查验收。</w:t>
      </w:r>
    </w:p>
    <w:p>
      <w:pPr>
        <w:pStyle w:val="3"/>
        <w:ind w:left="668"/>
      </w:pPr>
      <w:bookmarkStart w:id="22" w:name="_TOC_250018"/>
      <w:bookmarkEnd w:id="22"/>
      <w:r>
        <w:t>3、进度控制</w:t>
      </w:r>
    </w:p>
    <w:p>
      <w:pPr>
        <w:pStyle w:val="4"/>
        <w:spacing w:before="6"/>
        <w:rPr>
          <w:b/>
          <w:sz w:val="20"/>
        </w:rPr>
      </w:pPr>
    </w:p>
    <w:p>
      <w:pPr>
        <w:pStyle w:val="4"/>
        <w:spacing w:line="417" w:lineRule="auto"/>
        <w:ind w:left="111" w:right="243" w:firstLine="559"/>
        <w:jc w:val="both"/>
      </w:pPr>
      <w:r>
        <w:t>工程进度控制是监理三大控制之一。在施工过程中，监理工程师在确保工程质量的前提下，通过科学、定性分析工程建设期内外部环境对施工各工序的实际影响，合理地指导施工计划安排和施工方案的实施，尽可能优化施工程序，最有效地利用施工有效时间，达到工程建设总进度计划的</w:t>
      </w:r>
    </w:p>
    <w:p>
      <w:pPr>
        <w:spacing w:after="0" w:line="417" w:lineRule="auto"/>
        <w:jc w:val="both"/>
        <w:sectPr>
          <w:pgSz w:w="11910" w:h="16840"/>
          <w:pgMar w:top="1300" w:right="1160" w:bottom="1200" w:left="1420" w:header="878" w:footer="1005" w:gutter="0"/>
          <w:cols w:space="720" w:num="1"/>
        </w:sectPr>
      </w:pPr>
    </w:p>
    <w:p>
      <w:pPr>
        <w:pStyle w:val="4"/>
        <w:spacing w:before="4"/>
        <w:rPr>
          <w:sz w:val="9"/>
        </w:rPr>
      </w:pPr>
    </w:p>
    <w:p>
      <w:pPr>
        <w:pStyle w:val="4"/>
        <w:spacing w:before="61"/>
        <w:ind w:left="111"/>
      </w:pPr>
      <w:r>
        <w:t>全面实现。</w:t>
      </w:r>
    </w:p>
    <w:p>
      <w:pPr>
        <w:pStyle w:val="4"/>
        <w:spacing w:before="9"/>
        <w:rPr>
          <w:sz w:val="20"/>
        </w:rPr>
      </w:pPr>
    </w:p>
    <w:p>
      <w:pPr>
        <w:pStyle w:val="10"/>
        <w:numPr>
          <w:ilvl w:val="0"/>
          <w:numId w:val="13"/>
        </w:numPr>
        <w:tabs>
          <w:tab w:val="left" w:pos="1373"/>
        </w:tabs>
        <w:spacing w:before="0" w:after="0" w:line="417" w:lineRule="auto"/>
        <w:ind w:left="111" w:right="243" w:firstLine="559"/>
        <w:jc w:val="left"/>
        <w:rPr>
          <w:sz w:val="28"/>
        </w:rPr>
      </w:pPr>
      <w:r>
        <w:rPr>
          <w:spacing w:val="-9"/>
          <w:sz w:val="28"/>
        </w:rPr>
        <w:t xml:space="preserve">抓好承包商施工组织计划，施工方案，施工措施工作的审查， </w:t>
      </w:r>
      <w:r>
        <w:rPr>
          <w:spacing w:val="-1"/>
          <w:sz w:val="28"/>
        </w:rPr>
        <w:t>发现问题</w:t>
      </w:r>
    </w:p>
    <w:p>
      <w:pPr>
        <w:pStyle w:val="4"/>
        <w:spacing w:line="417" w:lineRule="auto"/>
        <w:ind w:left="111" w:right="243" w:firstLine="559"/>
        <w:jc w:val="both"/>
      </w:pPr>
      <w:r>
        <w:t>除提出书面意见外，还督促承包商尽快落实解决问题的措施，以免延误施工进度。同时坚持不懈地抓落实施工进度措施，促使各标段的施工进度向方案报告书中的施工进度靠近。</w:t>
      </w:r>
    </w:p>
    <w:p>
      <w:pPr>
        <w:pStyle w:val="10"/>
        <w:numPr>
          <w:ilvl w:val="0"/>
          <w:numId w:val="13"/>
        </w:numPr>
        <w:tabs>
          <w:tab w:val="left" w:pos="1373"/>
        </w:tabs>
        <w:spacing w:before="0" w:after="0" w:line="417" w:lineRule="auto"/>
        <w:ind w:left="111" w:right="111" w:firstLine="559"/>
        <w:jc w:val="left"/>
        <w:rPr>
          <w:sz w:val="28"/>
        </w:rPr>
      </w:pPr>
      <w:r>
        <w:rPr>
          <w:spacing w:val="-3"/>
          <w:sz w:val="28"/>
        </w:rPr>
        <w:t>深入施工现场，掌握进度计划执行情况，发现问题，纠正偏差。监理部及时指出并督促承包商调整作业计划。</w:t>
      </w:r>
    </w:p>
    <w:p>
      <w:pPr>
        <w:pStyle w:val="3"/>
        <w:ind w:left="668"/>
      </w:pPr>
      <w:bookmarkStart w:id="23" w:name="_TOC_250017"/>
      <w:bookmarkEnd w:id="23"/>
      <w:r>
        <w:t>4、投资控制</w:t>
      </w:r>
    </w:p>
    <w:p>
      <w:pPr>
        <w:pStyle w:val="4"/>
        <w:spacing w:before="8"/>
        <w:rPr>
          <w:b/>
          <w:sz w:val="20"/>
        </w:rPr>
      </w:pPr>
    </w:p>
    <w:p>
      <w:pPr>
        <w:pStyle w:val="4"/>
        <w:spacing w:line="417" w:lineRule="auto"/>
        <w:ind w:left="111" w:right="243" w:firstLine="559"/>
        <w:jc w:val="both"/>
      </w:pPr>
      <w:r>
        <w:t>工程投资是监理工作的一项重要内容。监理工程师根据工程建设监理合同中业主授予的权利，以施工承建合同文件为依据，对工程投资进行控制。</w:t>
      </w:r>
    </w:p>
    <w:p>
      <w:pPr>
        <w:pStyle w:val="4"/>
        <w:spacing w:line="417" w:lineRule="auto"/>
        <w:ind w:left="111" w:right="243" w:firstLine="559"/>
        <w:jc w:val="both"/>
      </w:pPr>
      <w:r>
        <w:t>本工程水土保持工程量由主体工程设计中的水保措施工程量和新增水保措施工程量构成，主体工程设计中的水保措施工程量已包含在主体工程的工程量中，其投资已含在主体工程造价中。新增水保措施工程量等项已含在施工承包合同中的临时建设项目之场地清理费用中。施工承包合同签订时约定临时建设费用包干使用，不另计费。</w:t>
      </w:r>
    </w:p>
    <w:p>
      <w:pPr>
        <w:pStyle w:val="3"/>
        <w:ind w:left="668"/>
      </w:pPr>
      <w:bookmarkStart w:id="24" w:name="_TOC_250016"/>
      <w:bookmarkEnd w:id="24"/>
      <w:r>
        <w:t>5、合同管理</w:t>
      </w:r>
    </w:p>
    <w:p>
      <w:pPr>
        <w:pStyle w:val="4"/>
        <w:spacing w:before="8"/>
        <w:rPr>
          <w:b/>
          <w:sz w:val="20"/>
        </w:rPr>
      </w:pPr>
    </w:p>
    <w:p>
      <w:pPr>
        <w:pStyle w:val="4"/>
        <w:spacing w:before="1" w:line="417" w:lineRule="auto"/>
        <w:ind w:left="111" w:right="243" w:firstLine="559"/>
        <w:jc w:val="both"/>
      </w:pPr>
      <w:r>
        <w:t>以合同为依据，对施工进度、质量、投资进行控制，将合同管理贯穿于整个施工过程之中，不论是施工进度、工程质量目标，工程投资进度款支付等，都以合同协议书、合同条款、技术条款、投标承诺作为施工监理的依据，确保实现合同约定的目标。具体情况如下：</w:t>
      </w:r>
    </w:p>
    <w:p>
      <w:pPr>
        <w:spacing w:after="0" w:line="417" w:lineRule="auto"/>
        <w:jc w:val="both"/>
        <w:sectPr>
          <w:pgSz w:w="11910" w:h="16840"/>
          <w:pgMar w:top="1300" w:right="1160" w:bottom="1200" w:left="1420" w:header="878" w:footer="1005" w:gutter="0"/>
          <w:cols w:space="720" w:num="1"/>
        </w:sectPr>
      </w:pPr>
    </w:p>
    <w:p>
      <w:pPr>
        <w:pStyle w:val="4"/>
        <w:spacing w:before="4"/>
        <w:rPr>
          <w:sz w:val="9"/>
        </w:rPr>
      </w:pPr>
    </w:p>
    <w:p>
      <w:pPr>
        <w:pStyle w:val="10"/>
        <w:numPr>
          <w:ilvl w:val="0"/>
          <w:numId w:val="14"/>
        </w:numPr>
        <w:tabs>
          <w:tab w:val="left" w:pos="1373"/>
        </w:tabs>
        <w:spacing w:before="61" w:after="0" w:line="240" w:lineRule="auto"/>
        <w:ind w:left="1372" w:right="0" w:hanging="703"/>
        <w:jc w:val="left"/>
        <w:rPr>
          <w:sz w:val="28"/>
        </w:rPr>
      </w:pPr>
      <w:r>
        <w:rPr>
          <w:spacing w:val="-3"/>
          <w:sz w:val="28"/>
        </w:rPr>
        <w:t>承包人履约情况</w:t>
      </w:r>
    </w:p>
    <w:p>
      <w:pPr>
        <w:pStyle w:val="4"/>
        <w:spacing w:before="9"/>
        <w:rPr>
          <w:sz w:val="20"/>
        </w:rPr>
      </w:pPr>
    </w:p>
    <w:p>
      <w:pPr>
        <w:pStyle w:val="4"/>
        <w:spacing w:line="417" w:lineRule="auto"/>
        <w:ind w:left="111" w:right="243" w:firstLine="559"/>
        <w:jc w:val="both"/>
      </w:pPr>
      <w:r>
        <w:t>对照投标文件的承诺，总监办对承包人上报的项目部管理人员进行了严格的审查批复，并采用动态跟踪管理，严格执行考勤制度。对违反规定的人员变动及缺勤，按照合同条款的相关规定进行经济处罚。</w:t>
      </w:r>
    </w:p>
    <w:p>
      <w:pPr>
        <w:pStyle w:val="4"/>
        <w:spacing w:line="417" w:lineRule="auto"/>
        <w:ind w:left="111" w:right="243" w:firstLine="559"/>
        <w:jc w:val="both"/>
      </w:pPr>
      <w:r>
        <w:t>总监办对承包人上报的施工员的资质情况进行审核，合格后方同意其上岗。监理工程师随时检查考勤和工作情况，督促承包人的现场施工人员工作到位。</w:t>
      </w:r>
    </w:p>
    <w:p>
      <w:pPr>
        <w:pStyle w:val="10"/>
        <w:numPr>
          <w:ilvl w:val="0"/>
          <w:numId w:val="14"/>
        </w:numPr>
        <w:tabs>
          <w:tab w:val="left" w:pos="1373"/>
        </w:tabs>
        <w:spacing w:before="0" w:after="0" w:line="358" w:lineRule="exact"/>
        <w:ind w:left="1372" w:right="0" w:hanging="703"/>
        <w:jc w:val="left"/>
        <w:rPr>
          <w:sz w:val="28"/>
        </w:rPr>
      </w:pPr>
      <w:r>
        <w:rPr>
          <w:spacing w:val="-3"/>
          <w:sz w:val="28"/>
        </w:rPr>
        <w:t>承包人机械到位情况</w:t>
      </w:r>
    </w:p>
    <w:p>
      <w:pPr>
        <w:pStyle w:val="4"/>
        <w:spacing w:before="9"/>
        <w:rPr>
          <w:sz w:val="20"/>
        </w:rPr>
      </w:pPr>
    </w:p>
    <w:p>
      <w:pPr>
        <w:pStyle w:val="4"/>
        <w:spacing w:line="417" w:lineRule="auto"/>
        <w:ind w:left="111" w:right="102" w:firstLine="559"/>
      </w:pPr>
      <w:r>
        <w:rPr>
          <w:spacing w:val="-3"/>
        </w:rPr>
        <w:t>各分项或分部工程开工前，监理工程师除了对原材料、施工方案进行</w:t>
      </w:r>
      <w:r>
        <w:rPr>
          <w:spacing w:val="-14"/>
        </w:rPr>
        <w:t>检查外，还对承包人投入的设备进行检查，确保符合投标承诺和施工需要。</w:t>
      </w:r>
      <w:r>
        <w:rPr>
          <w:spacing w:val="-6"/>
        </w:rPr>
        <w:t>同时，每月对承包人的主要机械设备数量和工作情况进行检查，确保满足</w:t>
      </w:r>
      <w:r>
        <w:rPr>
          <w:spacing w:val="-3"/>
        </w:rPr>
        <w:t>施工需要。</w:t>
      </w:r>
    </w:p>
    <w:p>
      <w:pPr>
        <w:pStyle w:val="3"/>
        <w:ind w:left="668"/>
      </w:pPr>
      <w:bookmarkStart w:id="25" w:name="_TOC_250015"/>
      <w:bookmarkEnd w:id="25"/>
      <w:r>
        <w:t>6、信息管理</w:t>
      </w:r>
    </w:p>
    <w:p>
      <w:pPr>
        <w:pStyle w:val="4"/>
        <w:spacing w:before="9"/>
        <w:rPr>
          <w:b/>
          <w:sz w:val="20"/>
        </w:rPr>
      </w:pPr>
    </w:p>
    <w:p>
      <w:pPr>
        <w:pStyle w:val="4"/>
        <w:spacing w:line="417" w:lineRule="auto"/>
        <w:ind w:left="111" w:right="243" w:firstLine="559"/>
        <w:jc w:val="both"/>
      </w:pPr>
      <w:r>
        <w:t>监理部办公室专门设置信息管理工程师和信息员，认真地执行各项信息管理制度，其中尤其是：收、发文件登记签字制度、信息发布书面文件制度、技术文件保密制度、借阅登记制度等。对工程建设监理资料进行分类归档保管。主动的收集工程建设监理的相关信息资料，如：现场的气象资料等。为监理月报和施工进度报告随时提供准确可靠的资料。</w:t>
      </w:r>
    </w:p>
    <w:p>
      <w:pPr>
        <w:pStyle w:val="3"/>
        <w:ind w:left="668"/>
      </w:pPr>
      <w:bookmarkStart w:id="26" w:name="_TOC_250014"/>
      <w:bookmarkEnd w:id="26"/>
      <w:r>
        <w:t>7、组织协调</w:t>
      </w:r>
    </w:p>
    <w:p>
      <w:pPr>
        <w:pStyle w:val="4"/>
        <w:spacing w:before="9"/>
        <w:rPr>
          <w:b/>
          <w:sz w:val="20"/>
        </w:rPr>
      </w:pPr>
    </w:p>
    <w:p>
      <w:pPr>
        <w:pStyle w:val="4"/>
        <w:spacing w:line="417" w:lineRule="auto"/>
        <w:ind w:left="111" w:right="241" w:firstLine="556"/>
      </w:pPr>
      <w:r>
        <w:t>定期或不定期召开工程协调会，对施工出现的需要协调的事宜进行恰商解决，督促各有关单位及时解决，有效地保障了合同的顺利实施。</w:t>
      </w:r>
    </w:p>
    <w:p>
      <w:pPr>
        <w:spacing w:after="0" w:line="417" w:lineRule="auto"/>
        <w:sectPr>
          <w:pgSz w:w="11910" w:h="16840"/>
          <w:pgMar w:top="1300" w:right="1160" w:bottom="1200" w:left="1420" w:header="878" w:footer="1005" w:gutter="0"/>
          <w:cols w:space="720" w:num="1"/>
        </w:sectPr>
      </w:pPr>
    </w:p>
    <w:p>
      <w:pPr>
        <w:pStyle w:val="4"/>
        <w:spacing w:before="7"/>
        <w:rPr>
          <w:sz w:val="8"/>
        </w:rPr>
      </w:pPr>
    </w:p>
    <w:p>
      <w:pPr>
        <w:pStyle w:val="2"/>
        <w:ind w:right="130"/>
      </w:pPr>
      <w:bookmarkStart w:id="27" w:name="_TOC_250013"/>
      <w:bookmarkEnd w:id="27"/>
      <w:r>
        <w:t>八、水行政主管部门监督检查意见落实情况</w:t>
      </w:r>
    </w:p>
    <w:p>
      <w:pPr>
        <w:pStyle w:val="4"/>
        <w:spacing w:before="12"/>
        <w:rPr>
          <w:rFonts w:ascii="黑体"/>
          <w:b/>
          <w:sz w:val="31"/>
        </w:rPr>
      </w:pPr>
    </w:p>
    <w:p>
      <w:pPr>
        <w:pStyle w:val="4"/>
        <w:spacing w:line="417" w:lineRule="auto"/>
        <w:ind w:left="111" w:right="243" w:firstLine="556"/>
        <w:jc w:val="both"/>
      </w:pPr>
      <w:r>
        <w:t>深圳市水务局和深圳市龙岗区环境保护和水务局分别在施工期的汛前、汛期对项目进行了现场监督检查，基本满意，现场水土保持措施基本按水土保持方案设计落实，并对措施布设的位置、进度和质量提出了适当意见和建议，各参建单位对此尽量进行了整改，实施的水土保持措施基本满足项目区水土保持防护要求。</w:t>
      </w:r>
    </w:p>
    <w:p>
      <w:pPr>
        <w:spacing w:after="0" w:line="417" w:lineRule="auto"/>
        <w:jc w:val="both"/>
        <w:sectPr>
          <w:pgSz w:w="11910" w:h="16840"/>
          <w:pgMar w:top="1300" w:right="1160" w:bottom="1200" w:left="1420" w:header="878" w:footer="1005" w:gutter="0"/>
          <w:cols w:space="720" w:num="1"/>
        </w:sectPr>
      </w:pPr>
    </w:p>
    <w:p>
      <w:pPr>
        <w:pStyle w:val="4"/>
        <w:spacing w:before="7"/>
        <w:rPr>
          <w:sz w:val="8"/>
        </w:rPr>
      </w:pPr>
    </w:p>
    <w:p>
      <w:pPr>
        <w:pStyle w:val="2"/>
        <w:ind w:right="135"/>
      </w:pPr>
      <w:bookmarkStart w:id="28" w:name="_TOC_250012"/>
      <w:bookmarkEnd w:id="28"/>
      <w:r>
        <w:t>九、水土保持效果评价</w:t>
      </w:r>
    </w:p>
    <w:p>
      <w:pPr>
        <w:pStyle w:val="4"/>
        <w:spacing w:before="12"/>
        <w:rPr>
          <w:rFonts w:ascii="黑体"/>
          <w:b/>
          <w:sz w:val="31"/>
        </w:rPr>
      </w:pPr>
    </w:p>
    <w:p>
      <w:pPr>
        <w:pStyle w:val="4"/>
        <w:spacing w:line="417" w:lineRule="auto"/>
        <w:ind w:left="111" w:right="243" w:firstLine="559"/>
        <w:jc w:val="both"/>
      </w:pPr>
      <w:r>
        <w:rPr>
          <w:spacing w:val="-3"/>
        </w:rPr>
        <w:t>根据各项水土保持相关竣工数据统计分析和计算，本项目施工扰动土</w:t>
      </w:r>
      <w:r>
        <w:rPr>
          <w:spacing w:val="-17"/>
        </w:rPr>
        <w:t xml:space="preserve">地面积约 </w:t>
      </w:r>
      <w:r>
        <w:t>7.37hm</w:t>
      </w:r>
      <w:r>
        <w:rPr>
          <w:position w:val="14"/>
          <w:sz w:val="14"/>
        </w:rPr>
        <w:t>2</w:t>
      </w:r>
      <w:r>
        <w:rPr>
          <w:spacing w:val="-7"/>
        </w:rPr>
        <w:t xml:space="preserve">，至施工期末共整治土地面积约 </w:t>
      </w:r>
      <w:r>
        <w:t>7.36hm</w:t>
      </w:r>
      <w:r>
        <w:rPr>
          <w:position w:val="14"/>
          <w:sz w:val="14"/>
        </w:rPr>
        <w:t>2</w:t>
      </w:r>
      <w:r>
        <w:rPr>
          <w:spacing w:val="-1"/>
        </w:rPr>
        <w:t>，扰动土地整治</w:t>
      </w:r>
      <w:r>
        <w:rPr>
          <w:spacing w:val="-8"/>
        </w:rPr>
        <w:t xml:space="preserve">率达 </w:t>
      </w:r>
      <w:r>
        <w:rPr>
          <w:spacing w:val="5"/>
        </w:rPr>
        <w:t>99.9</w:t>
      </w:r>
      <w:r>
        <w:rPr>
          <w:spacing w:val="8"/>
        </w:rPr>
        <w:t xml:space="preserve">%；完成水土流失治理面积约 </w:t>
      </w:r>
      <w:r>
        <w:t>7.36hm</w:t>
      </w:r>
      <w:r>
        <w:rPr>
          <w:position w:val="14"/>
          <w:sz w:val="14"/>
        </w:rPr>
        <w:t xml:space="preserve">2 </w:t>
      </w:r>
      <w:r>
        <w:rPr>
          <w:spacing w:val="16"/>
        </w:rPr>
        <w:t>，水土流失总治理度达</w:t>
      </w:r>
      <w:r>
        <w:rPr>
          <w:spacing w:val="-9"/>
        </w:rPr>
        <w:t>99.9</w:t>
      </w:r>
      <w:r>
        <w:rPr>
          <w:spacing w:val="-11"/>
        </w:rPr>
        <w:t>%；林草恢复期间，已实施的水土保持措施继续发挥水土保持效益，项</w:t>
      </w:r>
      <w:r>
        <w:rPr>
          <w:spacing w:val="-10"/>
        </w:rPr>
        <w:t xml:space="preserve">目区平均土壤侵蚀模数降至 </w:t>
      </w:r>
      <w:r>
        <w:t>200t/</w:t>
      </w:r>
      <w:r>
        <w:rPr>
          <w:spacing w:val="-61"/>
        </w:rPr>
        <w:t xml:space="preserve"> </w:t>
      </w:r>
      <w:r>
        <w:t>km</w:t>
      </w:r>
      <w:r>
        <w:rPr>
          <w:position w:val="14"/>
          <w:sz w:val="14"/>
        </w:rPr>
        <w:t>2</w:t>
      </w:r>
      <w:r>
        <w:t>.a</w:t>
      </w:r>
      <w:r>
        <w:rPr>
          <w:spacing w:val="-10"/>
        </w:rPr>
        <w:t xml:space="preserve">，土壤流失控制比为 </w:t>
      </w:r>
      <w:r>
        <w:t>2.5</w:t>
      </w:r>
      <w:r>
        <w:rPr>
          <w:spacing w:val="-2"/>
        </w:rPr>
        <w:t>；项目区</w:t>
      </w:r>
      <w:r>
        <w:rPr>
          <w:spacing w:val="-6"/>
        </w:rPr>
        <w:t xml:space="preserve">拦渣率达 </w:t>
      </w:r>
      <w:r>
        <w:t>99.8%；由于本工程主体设计并未涉及绿化工程，后期建设范围</w:t>
      </w:r>
      <w:r>
        <w:rPr>
          <w:spacing w:val="6"/>
        </w:rPr>
        <w:t>及周边的市政绿化工程设计施工不属于本工程，故林草植被恢复率视为100%。</w:t>
      </w:r>
    </w:p>
    <w:p>
      <w:pPr>
        <w:pStyle w:val="3"/>
        <w:spacing w:line="357" w:lineRule="exact"/>
      </w:pPr>
      <w:bookmarkStart w:id="29" w:name="_TOC_250011"/>
      <w:bookmarkEnd w:id="29"/>
      <w:r>
        <w:t>1、扰动土地整治率</w:t>
      </w:r>
    </w:p>
    <w:p>
      <w:pPr>
        <w:pStyle w:val="4"/>
        <w:spacing w:before="9"/>
        <w:rPr>
          <w:b/>
          <w:sz w:val="20"/>
        </w:rPr>
      </w:pPr>
    </w:p>
    <w:p>
      <w:pPr>
        <w:pStyle w:val="4"/>
        <w:spacing w:line="417" w:lineRule="auto"/>
        <w:ind w:left="111" w:right="176" w:firstLine="559"/>
      </w:pPr>
      <w:r>
        <w:t>本项目施工扰动地表范围为整个项目建设区，均为施工临时占地。至2019 年 10 月，本项目建设共扰动土地约 7.37hm</w:t>
      </w:r>
      <w:r>
        <w:rPr>
          <w:position w:val="14"/>
          <w:sz w:val="14"/>
        </w:rPr>
        <w:t>2</w:t>
      </w:r>
      <w:r>
        <w:t>，扰动土地整治面积约</w:t>
      </w:r>
    </w:p>
    <w:p>
      <w:pPr>
        <w:pStyle w:val="10"/>
        <w:numPr>
          <w:ilvl w:val="1"/>
          <w:numId w:val="15"/>
        </w:numPr>
        <w:tabs>
          <w:tab w:val="left" w:pos="673"/>
        </w:tabs>
        <w:spacing w:before="0" w:after="0" w:line="417" w:lineRule="auto"/>
        <w:ind w:left="111" w:right="243" w:firstLine="0"/>
        <w:jc w:val="left"/>
        <w:rPr>
          <w:sz w:val="28"/>
        </w:rPr>
      </w:pPr>
      <w:r>
        <w:rPr>
          <w:sz w:val="28"/>
        </w:rPr>
        <w:t>hm</w:t>
      </w:r>
      <w:r>
        <w:rPr>
          <w:position w:val="14"/>
          <w:sz w:val="14"/>
        </w:rPr>
        <w:t>2</w:t>
      </w:r>
      <w:r>
        <w:rPr>
          <w:spacing w:val="-5"/>
          <w:sz w:val="28"/>
        </w:rPr>
        <w:t xml:space="preserve">，扰动土地整治率达 </w:t>
      </w:r>
      <w:r>
        <w:rPr>
          <w:sz w:val="28"/>
        </w:rPr>
        <w:t>99.9</w:t>
      </w:r>
      <w:r>
        <w:rPr>
          <w:spacing w:val="-3"/>
          <w:sz w:val="28"/>
        </w:rPr>
        <w:t xml:space="preserve">%，高于水保方案拟定的目标值 </w:t>
      </w:r>
      <w:r>
        <w:rPr>
          <w:sz w:val="28"/>
        </w:rPr>
        <w:t>98%，符</w:t>
      </w:r>
      <w:r>
        <w:rPr>
          <w:spacing w:val="-3"/>
          <w:sz w:val="28"/>
        </w:rPr>
        <w:t>合水土保持验收要求。</w:t>
      </w:r>
    </w:p>
    <w:p>
      <w:pPr>
        <w:pStyle w:val="3"/>
      </w:pPr>
      <w:bookmarkStart w:id="30" w:name="_TOC_250010"/>
      <w:bookmarkEnd w:id="30"/>
      <w:r>
        <w:t>2、水土流失总治理度</w:t>
      </w:r>
    </w:p>
    <w:p>
      <w:pPr>
        <w:pStyle w:val="4"/>
        <w:spacing w:before="8"/>
        <w:rPr>
          <w:b/>
          <w:sz w:val="20"/>
        </w:rPr>
      </w:pPr>
    </w:p>
    <w:p>
      <w:pPr>
        <w:pStyle w:val="4"/>
        <w:spacing w:line="417" w:lineRule="auto"/>
        <w:ind w:left="111" w:right="241" w:firstLine="559"/>
        <w:jc w:val="both"/>
      </w:pPr>
      <w:r>
        <w:rPr>
          <w:spacing w:val="-35"/>
        </w:rPr>
        <w:t xml:space="preserve">至 </w:t>
      </w:r>
      <w:r>
        <w:t>2019</w:t>
      </w:r>
      <w:r>
        <w:rPr>
          <w:spacing w:val="-47"/>
        </w:rPr>
        <w:t xml:space="preserve"> 年 </w:t>
      </w:r>
      <w:r>
        <w:t>10</w:t>
      </w:r>
      <w:r>
        <w:rPr>
          <w:spacing w:val="-10"/>
        </w:rPr>
        <w:t xml:space="preserve"> 月，本项目施工过程造成水土流失区域为整个项目建设</w:t>
      </w:r>
      <w:r>
        <w:rPr>
          <w:spacing w:val="-17"/>
        </w:rPr>
        <w:t xml:space="preserve">区，面积约为 </w:t>
      </w:r>
      <w:r>
        <w:rPr>
          <w:spacing w:val="-7"/>
        </w:rPr>
        <w:t>7.37hm</w:t>
      </w:r>
      <w:r>
        <w:rPr>
          <w:spacing w:val="-7"/>
          <w:position w:val="14"/>
          <w:sz w:val="14"/>
        </w:rPr>
        <w:t>2</w:t>
      </w:r>
      <w:r>
        <w:rPr>
          <w:spacing w:val="-6"/>
        </w:rPr>
        <w:t>，完工后基本已全部恢复道路或硬质地表，本报告认</w:t>
      </w:r>
      <w:r>
        <w:rPr>
          <w:spacing w:val="-8"/>
        </w:rPr>
        <w:t xml:space="preserve">为其水土流失治理达标面积约 </w:t>
      </w:r>
      <w:r>
        <w:rPr>
          <w:spacing w:val="-5"/>
        </w:rPr>
        <w:t>7.36hm</w:t>
      </w:r>
      <w:r>
        <w:rPr>
          <w:spacing w:val="-5"/>
          <w:position w:val="14"/>
          <w:sz w:val="14"/>
        </w:rPr>
        <w:t>2</w:t>
      </w:r>
      <w:r>
        <w:rPr>
          <w:spacing w:val="-8"/>
        </w:rPr>
        <w:t xml:space="preserve">，故水土流失总治理度达 </w:t>
      </w:r>
      <w:r>
        <w:rPr>
          <w:spacing w:val="-6"/>
        </w:rPr>
        <w:t>99.9</w:t>
      </w:r>
      <w:r>
        <w:rPr>
          <w:spacing w:val="-4"/>
        </w:rPr>
        <w:t>%，高</w:t>
      </w:r>
      <w:r>
        <w:rPr>
          <w:spacing w:val="-9"/>
        </w:rPr>
        <w:t xml:space="preserve">于水保方案拟定的目标值 </w:t>
      </w:r>
      <w:r>
        <w:t>98%</w:t>
      </w:r>
      <w:r>
        <w:rPr>
          <w:spacing w:val="-3"/>
        </w:rPr>
        <w:t>，符合水土保持验收要求。</w:t>
      </w:r>
    </w:p>
    <w:p>
      <w:pPr>
        <w:pStyle w:val="3"/>
      </w:pPr>
      <w:bookmarkStart w:id="31" w:name="_TOC_250009"/>
      <w:bookmarkEnd w:id="31"/>
      <w:r>
        <w:t>3、水土流失控制比</w:t>
      </w:r>
    </w:p>
    <w:p>
      <w:pPr>
        <w:pStyle w:val="4"/>
        <w:spacing w:before="9"/>
        <w:rPr>
          <w:b/>
          <w:sz w:val="20"/>
        </w:rPr>
      </w:pPr>
    </w:p>
    <w:p>
      <w:pPr>
        <w:pStyle w:val="4"/>
        <w:spacing w:line="417" w:lineRule="auto"/>
        <w:ind w:left="111" w:right="176" w:firstLine="559"/>
      </w:pPr>
      <w:r>
        <w:t>根据本项目水土保持方案设计资料，结合项目所在区域的土壤侵蚀类型与强度，项目区的土壤容许侵蚀模数为 500t/km</w:t>
      </w:r>
      <w:r>
        <w:rPr>
          <w:position w:val="14"/>
          <w:sz w:val="14"/>
        </w:rPr>
        <w:t>2</w:t>
      </w:r>
      <w:r>
        <w:t>.a，施工期末，项目区</w:t>
      </w:r>
    </w:p>
    <w:p>
      <w:pPr>
        <w:spacing w:after="0" w:line="417" w:lineRule="auto"/>
        <w:sectPr>
          <w:pgSz w:w="11910" w:h="16840"/>
          <w:pgMar w:top="1300" w:right="1160" w:bottom="1200" w:left="1420" w:header="878" w:footer="1005" w:gutter="0"/>
          <w:cols w:space="720" w:num="1"/>
        </w:sectPr>
      </w:pPr>
    </w:p>
    <w:p>
      <w:pPr>
        <w:pStyle w:val="4"/>
        <w:spacing w:before="10"/>
        <w:rPr>
          <w:sz w:val="7"/>
        </w:rPr>
      </w:pPr>
    </w:p>
    <w:p>
      <w:pPr>
        <w:pStyle w:val="4"/>
        <w:spacing w:before="81" w:line="417" w:lineRule="auto"/>
        <w:ind w:left="111" w:right="243"/>
      </w:pPr>
      <w:r>
        <w:rPr>
          <w:spacing w:val="-6"/>
        </w:rPr>
        <w:t xml:space="preserve">土壤侵蚀模数为 </w:t>
      </w:r>
      <w:r>
        <w:t>200t/km</w:t>
      </w:r>
      <w:r>
        <w:rPr>
          <w:position w:val="14"/>
          <w:sz w:val="14"/>
        </w:rPr>
        <w:t>2</w:t>
      </w:r>
      <w:r>
        <w:t>.a</w:t>
      </w:r>
      <w:r>
        <w:rPr>
          <w:spacing w:val="-4"/>
        </w:rPr>
        <w:t xml:space="preserve">，水土流失控制比为 </w:t>
      </w:r>
      <w:r>
        <w:t>2.5，达到水土保持方案</w:t>
      </w:r>
      <w:r>
        <w:rPr>
          <w:spacing w:val="-3"/>
          <w:w w:val="100"/>
        </w:rPr>
        <w:t>设定目标值标准（</w:t>
      </w:r>
      <w:r>
        <w:rPr>
          <w:spacing w:val="1"/>
          <w:w w:val="100"/>
        </w:rPr>
        <w:t>2</w:t>
      </w:r>
      <w:r>
        <w:rPr>
          <w:spacing w:val="-2"/>
          <w:w w:val="100"/>
        </w:rPr>
        <w:t>.5</w:t>
      </w:r>
      <w:r>
        <w:rPr>
          <w:spacing w:val="-140"/>
          <w:w w:val="100"/>
        </w:rPr>
        <w:t>）</w:t>
      </w:r>
      <w:r>
        <w:rPr>
          <w:spacing w:val="-3"/>
          <w:w w:val="100"/>
        </w:rPr>
        <w:t>，符合水土保持验收要求。</w:t>
      </w:r>
    </w:p>
    <w:p>
      <w:pPr>
        <w:pStyle w:val="3"/>
      </w:pPr>
      <w:bookmarkStart w:id="32" w:name="_TOC_250008"/>
      <w:bookmarkEnd w:id="32"/>
      <w:r>
        <w:t>4、拦渣率</w:t>
      </w:r>
    </w:p>
    <w:p>
      <w:pPr>
        <w:pStyle w:val="4"/>
        <w:spacing w:before="9"/>
        <w:rPr>
          <w:b/>
          <w:sz w:val="20"/>
        </w:rPr>
      </w:pPr>
    </w:p>
    <w:p>
      <w:pPr>
        <w:pStyle w:val="4"/>
        <w:spacing w:line="417" w:lineRule="auto"/>
        <w:ind w:left="111" w:right="111" w:firstLine="559"/>
      </w:pPr>
      <w:r>
        <w:rPr>
          <w:spacing w:val="-10"/>
          <w:w w:val="100"/>
        </w:rPr>
        <w:t>至项目建设完成时，项目建设区内共产生挖方约</w:t>
      </w:r>
      <w:r>
        <w:rPr>
          <w:spacing w:val="-71"/>
        </w:rPr>
        <w:t xml:space="preserve"> </w:t>
      </w:r>
      <w:r>
        <w:rPr>
          <w:spacing w:val="1"/>
          <w:w w:val="100"/>
        </w:rPr>
        <w:t>1</w:t>
      </w:r>
      <w:r>
        <w:rPr>
          <w:spacing w:val="-2"/>
          <w:w w:val="100"/>
        </w:rPr>
        <w:t>18</w:t>
      </w:r>
      <w:r>
        <w:rPr>
          <w:spacing w:val="1"/>
          <w:w w:val="100"/>
        </w:rPr>
        <w:t>6</w:t>
      </w:r>
      <w:r>
        <w:rPr>
          <w:spacing w:val="-2"/>
          <w:w w:val="100"/>
        </w:rPr>
        <w:t>8.</w:t>
      </w:r>
      <w:r>
        <w:rPr>
          <w:spacing w:val="1"/>
          <w:w w:val="100"/>
        </w:rPr>
        <w:t>6</w:t>
      </w:r>
      <w:r>
        <w:rPr>
          <w:spacing w:val="-2"/>
          <w:w w:val="100"/>
        </w:rPr>
        <w:t>m</w:t>
      </w:r>
      <w:r>
        <w:rPr>
          <w:w w:val="99"/>
          <w:position w:val="14"/>
          <w:sz w:val="14"/>
        </w:rPr>
        <w:t>3</w:t>
      </w:r>
      <w:r>
        <w:rPr>
          <w:spacing w:val="-16"/>
          <w:w w:val="100"/>
        </w:rPr>
        <w:t>，场区填方</w:t>
      </w:r>
      <w:r>
        <w:rPr>
          <w:spacing w:val="-31"/>
        </w:rPr>
        <w:t xml:space="preserve">总量约 </w:t>
      </w:r>
      <w:r>
        <w:t>5149.5m</w:t>
      </w:r>
      <w:r>
        <w:rPr>
          <w:position w:val="14"/>
          <w:sz w:val="14"/>
        </w:rPr>
        <w:t>3</w:t>
      </w:r>
      <w:r>
        <w:rPr>
          <w:spacing w:val="-11"/>
        </w:rPr>
        <w:t xml:space="preserve">，总弃方量约 </w:t>
      </w:r>
      <w:r>
        <w:t>6719.1m</w:t>
      </w:r>
      <w:r>
        <w:rPr>
          <w:position w:val="14"/>
          <w:sz w:val="14"/>
        </w:rPr>
        <w:t>3</w:t>
      </w:r>
      <w:r>
        <w:rPr>
          <w:spacing w:val="-2"/>
        </w:rPr>
        <w:t>，施工过程中已将弃方全部外运至</w:t>
      </w:r>
      <w:r>
        <w:rPr>
          <w:spacing w:val="-3"/>
        </w:rPr>
        <w:t>坝光国际生物谷片区用于土方内部平衡，通过适当的土方临时拦防措施拦</w:t>
      </w:r>
      <w:r>
        <w:rPr>
          <w:spacing w:val="-14"/>
        </w:rPr>
        <w:t xml:space="preserve">挡渣土量约 </w:t>
      </w:r>
      <w:r>
        <w:t>6710m</w:t>
      </w:r>
      <w:r>
        <w:rPr>
          <w:position w:val="14"/>
          <w:sz w:val="14"/>
        </w:rPr>
        <w:t>3</w:t>
      </w:r>
      <w:r>
        <w:rPr>
          <w:spacing w:val="-13"/>
        </w:rPr>
        <w:t xml:space="preserve">，拦渣率约为 </w:t>
      </w:r>
      <w:r>
        <w:t>99.8</w:t>
      </w:r>
      <w:r>
        <w:rPr>
          <w:spacing w:val="-8"/>
        </w:rPr>
        <w:t xml:space="preserve">%，高于水保方案拟定的目标值 </w:t>
      </w:r>
      <w:r>
        <w:t xml:space="preserve">97%， </w:t>
      </w:r>
      <w:r>
        <w:rPr>
          <w:spacing w:val="-3"/>
        </w:rPr>
        <w:t>符合水土保持验收要求。</w:t>
      </w:r>
    </w:p>
    <w:p>
      <w:pPr>
        <w:spacing w:before="0" w:line="358" w:lineRule="exact"/>
        <w:ind w:left="670" w:right="0" w:firstLine="0"/>
        <w:jc w:val="left"/>
        <w:rPr>
          <w:b/>
          <w:sz w:val="28"/>
        </w:rPr>
      </w:pPr>
      <w:bookmarkStart w:id="33" w:name="5、林草植被恢复率"/>
      <w:bookmarkEnd w:id="33"/>
      <w:r>
        <w:rPr>
          <w:b/>
          <w:sz w:val="28"/>
        </w:rPr>
        <w:t>5、林草植被恢复率</w:t>
      </w:r>
    </w:p>
    <w:p>
      <w:pPr>
        <w:pStyle w:val="4"/>
        <w:spacing w:before="9"/>
        <w:rPr>
          <w:b/>
          <w:sz w:val="20"/>
        </w:rPr>
      </w:pPr>
    </w:p>
    <w:p>
      <w:pPr>
        <w:pStyle w:val="4"/>
        <w:spacing w:line="417" w:lineRule="auto"/>
        <w:ind w:left="111" w:right="241" w:firstLine="559"/>
        <w:jc w:val="both"/>
      </w:pPr>
      <w:r>
        <w:rPr>
          <w:spacing w:val="-3"/>
        </w:rPr>
        <w:t>由于本工程主体设计并未涉及绿化工程，后期建设范围及周边的市政</w:t>
      </w:r>
      <w:r>
        <w:rPr>
          <w:spacing w:val="-8"/>
        </w:rPr>
        <w:t>绿化工程设计施工不属于本工程，故林草植被恢复率视为 100</w:t>
      </w:r>
      <w:r>
        <w:rPr>
          <w:spacing w:val="-4"/>
        </w:rPr>
        <w:t>%，高于水保</w:t>
      </w:r>
      <w:r>
        <w:rPr>
          <w:spacing w:val="-11"/>
        </w:rPr>
        <w:t xml:space="preserve">方案拟定的目标值 </w:t>
      </w:r>
      <w:r>
        <w:t>99%</w:t>
      </w:r>
      <w:r>
        <w:rPr>
          <w:spacing w:val="-3"/>
        </w:rPr>
        <w:t>，符合水土保持验收要求。</w:t>
      </w:r>
    </w:p>
    <w:p>
      <w:pPr>
        <w:pStyle w:val="3"/>
      </w:pPr>
      <w:bookmarkStart w:id="34" w:name="_TOC_250007"/>
      <w:bookmarkEnd w:id="34"/>
      <w:r>
        <w:t>6、批复的防治目标与实际完成情况对比</w:t>
      </w:r>
    </w:p>
    <w:p>
      <w:pPr>
        <w:pStyle w:val="4"/>
        <w:spacing w:before="9"/>
        <w:rPr>
          <w:b/>
          <w:sz w:val="20"/>
        </w:rPr>
      </w:pPr>
    </w:p>
    <w:p>
      <w:pPr>
        <w:pStyle w:val="4"/>
        <w:spacing w:line="417" w:lineRule="auto"/>
        <w:ind w:left="111" w:right="243" w:firstLine="559"/>
      </w:pPr>
      <w:r>
        <w:t>本项目的各项水土流失防治目标基本达到了水土保持方案批复的目标值或国家一级水土流失防治标准，具体完成情况对比详见下表 9-1。</w:t>
      </w:r>
    </w:p>
    <w:p>
      <w:pPr>
        <w:tabs>
          <w:tab w:val="left" w:pos="1144"/>
        </w:tabs>
        <w:spacing w:before="102"/>
        <w:ind w:left="0" w:right="116" w:firstLine="0"/>
        <w:jc w:val="center"/>
        <w:rPr>
          <w:rFonts w:hint="eastAsia" w:ascii="宋体" w:eastAsia="宋体"/>
          <w:b/>
          <w:sz w:val="24"/>
        </w:rPr>
      </w:pPr>
      <w:r>
        <w:rPr>
          <w:rFonts w:hint="eastAsia" w:ascii="宋体" w:eastAsia="宋体"/>
          <w:b/>
          <w:sz w:val="24"/>
        </w:rPr>
        <w:t>表</w:t>
      </w:r>
      <w:r>
        <w:rPr>
          <w:rFonts w:hint="eastAsia" w:ascii="宋体" w:eastAsia="宋体"/>
          <w:b/>
          <w:spacing w:val="-62"/>
          <w:sz w:val="24"/>
        </w:rPr>
        <w:t xml:space="preserve"> </w:t>
      </w:r>
      <w:r>
        <w:rPr>
          <w:rFonts w:hint="eastAsia" w:ascii="宋体" w:eastAsia="宋体"/>
          <w:b/>
          <w:sz w:val="24"/>
        </w:rPr>
        <w:t>9-1</w:t>
      </w:r>
      <w:r>
        <w:rPr>
          <w:rFonts w:hint="eastAsia" w:ascii="宋体" w:eastAsia="宋体"/>
          <w:b/>
          <w:sz w:val="24"/>
        </w:rPr>
        <w:tab/>
      </w:r>
      <w:r>
        <w:rPr>
          <w:rFonts w:hint="eastAsia" w:ascii="宋体" w:eastAsia="宋体"/>
          <w:b/>
          <w:sz w:val="24"/>
        </w:rPr>
        <w:t>水土流失防治目标完成情况对比表</w:t>
      </w:r>
    </w:p>
    <w:p>
      <w:pPr>
        <w:pStyle w:val="4"/>
        <w:spacing w:before="3"/>
        <w:rPr>
          <w:rFonts w:ascii="宋体"/>
          <w:b/>
          <w:sz w:val="6"/>
        </w:rPr>
      </w:pPr>
    </w:p>
    <w:tbl>
      <w:tblPr>
        <w:tblStyle w:val="7"/>
        <w:tblW w:w="0" w:type="auto"/>
        <w:tblInd w:w="282"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915"/>
        <w:gridCol w:w="2976"/>
        <w:gridCol w:w="1701"/>
        <w:gridCol w:w="1554"/>
        <w:gridCol w:w="1511"/>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trPr>
        <w:tc>
          <w:tcPr>
            <w:tcW w:w="915" w:type="dxa"/>
            <w:tcBorders>
              <w:bottom w:val="single" w:color="000000" w:sz="4" w:space="0"/>
              <w:right w:val="single" w:color="000000" w:sz="4" w:space="0"/>
            </w:tcBorders>
          </w:tcPr>
          <w:p>
            <w:pPr>
              <w:pStyle w:val="11"/>
              <w:spacing w:before="92"/>
              <w:ind w:left="225" w:right="207"/>
              <w:rPr>
                <w:b/>
                <w:sz w:val="21"/>
              </w:rPr>
            </w:pPr>
            <w:r>
              <w:rPr>
                <w:b/>
                <w:sz w:val="21"/>
              </w:rPr>
              <w:t>序号</w:t>
            </w:r>
          </w:p>
        </w:tc>
        <w:tc>
          <w:tcPr>
            <w:tcW w:w="2976" w:type="dxa"/>
            <w:tcBorders>
              <w:left w:val="single" w:color="000000" w:sz="4" w:space="0"/>
              <w:bottom w:val="single" w:color="000000" w:sz="4" w:space="0"/>
              <w:right w:val="single" w:color="000000" w:sz="4" w:space="0"/>
            </w:tcBorders>
          </w:tcPr>
          <w:p>
            <w:pPr>
              <w:pStyle w:val="11"/>
              <w:spacing w:before="92"/>
              <w:ind w:left="635" w:right="605"/>
              <w:rPr>
                <w:b/>
                <w:sz w:val="21"/>
              </w:rPr>
            </w:pPr>
            <w:r>
              <w:rPr>
                <w:b/>
                <w:sz w:val="21"/>
              </w:rPr>
              <w:t>防治指标</w:t>
            </w:r>
          </w:p>
        </w:tc>
        <w:tc>
          <w:tcPr>
            <w:tcW w:w="1701" w:type="dxa"/>
            <w:tcBorders>
              <w:left w:val="single" w:color="000000" w:sz="4" w:space="0"/>
              <w:bottom w:val="single" w:color="000000" w:sz="4" w:space="0"/>
              <w:right w:val="single" w:color="000000" w:sz="4" w:space="0"/>
            </w:tcBorders>
          </w:tcPr>
          <w:p>
            <w:pPr>
              <w:pStyle w:val="11"/>
              <w:spacing w:before="92"/>
              <w:ind w:left="523" w:right="495"/>
              <w:rPr>
                <w:b/>
                <w:sz w:val="21"/>
              </w:rPr>
            </w:pPr>
            <w:r>
              <w:rPr>
                <w:b/>
                <w:sz w:val="21"/>
              </w:rPr>
              <w:t>目标值</w:t>
            </w:r>
          </w:p>
        </w:tc>
        <w:tc>
          <w:tcPr>
            <w:tcW w:w="1554" w:type="dxa"/>
            <w:tcBorders>
              <w:left w:val="single" w:color="000000" w:sz="4" w:space="0"/>
              <w:bottom w:val="single" w:color="000000" w:sz="4" w:space="0"/>
              <w:right w:val="single" w:color="000000" w:sz="4" w:space="0"/>
            </w:tcBorders>
          </w:tcPr>
          <w:p>
            <w:pPr>
              <w:pStyle w:val="11"/>
              <w:spacing w:before="92"/>
              <w:ind w:left="449" w:right="421"/>
              <w:rPr>
                <w:b/>
                <w:sz w:val="21"/>
              </w:rPr>
            </w:pPr>
            <w:r>
              <w:rPr>
                <w:b/>
                <w:sz w:val="21"/>
              </w:rPr>
              <w:t>达到值</w:t>
            </w:r>
          </w:p>
        </w:tc>
        <w:tc>
          <w:tcPr>
            <w:tcW w:w="1511" w:type="dxa"/>
            <w:tcBorders>
              <w:left w:val="single" w:color="000000" w:sz="4" w:space="0"/>
              <w:bottom w:val="single" w:color="000000" w:sz="4" w:space="0"/>
            </w:tcBorders>
          </w:tcPr>
          <w:p>
            <w:pPr>
              <w:pStyle w:val="11"/>
              <w:spacing w:before="92"/>
              <w:ind w:left="323" w:right="283"/>
              <w:rPr>
                <w:b/>
                <w:sz w:val="21"/>
              </w:rPr>
            </w:pPr>
            <w:r>
              <w:rPr>
                <w:b/>
                <w:sz w:val="21"/>
              </w:rPr>
              <w:t>达标情况</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3" w:hRule="atLeast"/>
        </w:trPr>
        <w:tc>
          <w:tcPr>
            <w:tcW w:w="915" w:type="dxa"/>
            <w:tcBorders>
              <w:top w:val="single" w:color="000000" w:sz="4" w:space="0"/>
              <w:bottom w:val="single" w:color="000000" w:sz="4" w:space="0"/>
              <w:right w:val="single" w:color="000000" w:sz="4" w:space="0"/>
            </w:tcBorders>
          </w:tcPr>
          <w:p>
            <w:pPr>
              <w:pStyle w:val="11"/>
              <w:spacing w:before="105"/>
              <w:ind w:left="19"/>
              <w:rPr>
                <w:rFonts w:ascii="Times New Roman"/>
                <w:sz w:val="21"/>
              </w:rPr>
            </w:pPr>
            <w:r>
              <w:rPr>
                <w:rFonts w:ascii="Times New Roman"/>
                <w:w w:val="99"/>
                <w:sz w:val="21"/>
              </w:rPr>
              <w:t>1</w:t>
            </w:r>
          </w:p>
        </w:tc>
        <w:tc>
          <w:tcPr>
            <w:tcW w:w="2976" w:type="dxa"/>
            <w:tcBorders>
              <w:top w:val="single" w:color="000000" w:sz="4" w:space="0"/>
              <w:left w:val="single" w:color="000000" w:sz="4" w:space="0"/>
              <w:bottom w:val="single" w:color="000000" w:sz="4" w:space="0"/>
              <w:right w:val="single" w:color="000000" w:sz="4" w:space="0"/>
            </w:tcBorders>
          </w:tcPr>
          <w:p>
            <w:pPr>
              <w:pStyle w:val="11"/>
              <w:spacing w:before="91"/>
              <w:ind w:left="635" w:right="607"/>
              <w:rPr>
                <w:sz w:val="21"/>
              </w:rPr>
            </w:pPr>
            <w:r>
              <w:rPr>
                <w:sz w:val="21"/>
              </w:rPr>
              <w:t>扰动土地整治率</w:t>
            </w:r>
          </w:p>
        </w:tc>
        <w:tc>
          <w:tcPr>
            <w:tcW w:w="1701" w:type="dxa"/>
            <w:tcBorders>
              <w:top w:val="single" w:color="000000" w:sz="4" w:space="0"/>
              <w:left w:val="single" w:color="000000" w:sz="4" w:space="0"/>
              <w:bottom w:val="single" w:color="000000" w:sz="4" w:space="0"/>
              <w:right w:val="single" w:color="000000" w:sz="4" w:space="0"/>
            </w:tcBorders>
          </w:tcPr>
          <w:p>
            <w:pPr>
              <w:pStyle w:val="11"/>
              <w:spacing w:before="105"/>
              <w:ind w:left="522" w:right="495"/>
              <w:rPr>
                <w:rFonts w:ascii="Times New Roman"/>
                <w:sz w:val="21"/>
              </w:rPr>
            </w:pPr>
            <w:r>
              <w:rPr>
                <w:rFonts w:ascii="Times New Roman"/>
                <w:sz w:val="21"/>
              </w:rPr>
              <w:t>98%</w:t>
            </w:r>
          </w:p>
        </w:tc>
        <w:tc>
          <w:tcPr>
            <w:tcW w:w="1554" w:type="dxa"/>
            <w:tcBorders>
              <w:top w:val="single" w:color="000000" w:sz="4" w:space="0"/>
              <w:left w:val="single" w:color="000000" w:sz="4" w:space="0"/>
              <w:bottom w:val="single" w:color="000000" w:sz="4" w:space="0"/>
              <w:right w:val="single" w:color="000000" w:sz="4" w:space="0"/>
            </w:tcBorders>
          </w:tcPr>
          <w:p>
            <w:pPr>
              <w:pStyle w:val="11"/>
              <w:spacing w:before="105"/>
              <w:ind w:left="449" w:right="420"/>
              <w:rPr>
                <w:rFonts w:ascii="Times New Roman"/>
                <w:sz w:val="21"/>
              </w:rPr>
            </w:pPr>
            <w:r>
              <w:rPr>
                <w:rFonts w:ascii="Times New Roman"/>
                <w:sz w:val="21"/>
              </w:rPr>
              <w:t>99.9%</w:t>
            </w:r>
          </w:p>
        </w:tc>
        <w:tc>
          <w:tcPr>
            <w:tcW w:w="1511" w:type="dxa"/>
            <w:tcBorders>
              <w:top w:val="single" w:color="000000" w:sz="4" w:space="0"/>
              <w:left w:val="single" w:color="000000" w:sz="4" w:space="0"/>
              <w:bottom w:val="single" w:color="000000" w:sz="4" w:space="0"/>
            </w:tcBorders>
          </w:tcPr>
          <w:p>
            <w:pPr>
              <w:pStyle w:val="11"/>
              <w:spacing w:before="91"/>
              <w:ind w:left="316" w:right="283"/>
              <w:rPr>
                <w:sz w:val="21"/>
              </w:rPr>
            </w:pPr>
            <w:r>
              <w:rPr>
                <w:sz w:val="21"/>
              </w:rPr>
              <w:t>达标</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trPr>
        <w:tc>
          <w:tcPr>
            <w:tcW w:w="915" w:type="dxa"/>
            <w:tcBorders>
              <w:top w:val="single" w:color="000000" w:sz="4" w:space="0"/>
              <w:bottom w:val="single" w:color="000000" w:sz="4" w:space="0"/>
              <w:right w:val="single" w:color="000000" w:sz="4" w:space="0"/>
            </w:tcBorders>
          </w:tcPr>
          <w:p>
            <w:pPr>
              <w:pStyle w:val="11"/>
              <w:spacing w:before="107"/>
              <w:ind w:left="19"/>
              <w:rPr>
                <w:rFonts w:ascii="Times New Roman"/>
                <w:sz w:val="21"/>
              </w:rPr>
            </w:pPr>
            <w:r>
              <w:rPr>
                <w:rFonts w:ascii="Times New Roman"/>
                <w:w w:val="99"/>
                <w:sz w:val="21"/>
              </w:rPr>
              <w:t>2</w:t>
            </w:r>
          </w:p>
        </w:tc>
        <w:tc>
          <w:tcPr>
            <w:tcW w:w="2976" w:type="dxa"/>
            <w:tcBorders>
              <w:top w:val="single" w:color="000000" w:sz="4" w:space="0"/>
              <w:left w:val="single" w:color="000000" w:sz="4" w:space="0"/>
              <w:bottom w:val="single" w:color="000000" w:sz="4" w:space="0"/>
              <w:right w:val="single" w:color="000000" w:sz="4" w:space="0"/>
            </w:tcBorders>
          </w:tcPr>
          <w:p>
            <w:pPr>
              <w:pStyle w:val="11"/>
              <w:spacing w:before="93"/>
              <w:ind w:left="635" w:right="610"/>
              <w:rPr>
                <w:sz w:val="21"/>
              </w:rPr>
            </w:pPr>
            <w:r>
              <w:rPr>
                <w:sz w:val="21"/>
              </w:rPr>
              <w:t>水土流失总治理度</w:t>
            </w:r>
          </w:p>
        </w:tc>
        <w:tc>
          <w:tcPr>
            <w:tcW w:w="1701" w:type="dxa"/>
            <w:tcBorders>
              <w:top w:val="single" w:color="000000" w:sz="4" w:space="0"/>
              <w:left w:val="single" w:color="000000" w:sz="4" w:space="0"/>
              <w:bottom w:val="single" w:color="000000" w:sz="4" w:space="0"/>
              <w:right w:val="single" w:color="000000" w:sz="4" w:space="0"/>
            </w:tcBorders>
          </w:tcPr>
          <w:p>
            <w:pPr>
              <w:pStyle w:val="11"/>
              <w:spacing w:before="107"/>
              <w:ind w:left="522" w:right="495"/>
              <w:rPr>
                <w:rFonts w:ascii="Times New Roman"/>
                <w:sz w:val="21"/>
              </w:rPr>
            </w:pPr>
            <w:r>
              <w:rPr>
                <w:rFonts w:ascii="Times New Roman"/>
                <w:sz w:val="21"/>
              </w:rPr>
              <w:t>98%</w:t>
            </w:r>
          </w:p>
        </w:tc>
        <w:tc>
          <w:tcPr>
            <w:tcW w:w="1554" w:type="dxa"/>
            <w:tcBorders>
              <w:top w:val="single" w:color="000000" w:sz="4" w:space="0"/>
              <w:left w:val="single" w:color="000000" w:sz="4" w:space="0"/>
              <w:bottom w:val="single" w:color="000000" w:sz="4" w:space="0"/>
              <w:right w:val="single" w:color="000000" w:sz="4" w:space="0"/>
            </w:tcBorders>
          </w:tcPr>
          <w:p>
            <w:pPr>
              <w:pStyle w:val="11"/>
              <w:spacing w:before="107"/>
              <w:ind w:left="449" w:right="420"/>
              <w:rPr>
                <w:rFonts w:ascii="Times New Roman"/>
                <w:sz w:val="21"/>
              </w:rPr>
            </w:pPr>
            <w:r>
              <w:rPr>
                <w:rFonts w:ascii="Times New Roman"/>
                <w:sz w:val="21"/>
              </w:rPr>
              <w:t>99.9%</w:t>
            </w:r>
          </w:p>
        </w:tc>
        <w:tc>
          <w:tcPr>
            <w:tcW w:w="1511" w:type="dxa"/>
            <w:tcBorders>
              <w:top w:val="single" w:color="000000" w:sz="4" w:space="0"/>
              <w:left w:val="single" w:color="000000" w:sz="4" w:space="0"/>
              <w:bottom w:val="single" w:color="000000" w:sz="4" w:space="0"/>
            </w:tcBorders>
          </w:tcPr>
          <w:p>
            <w:pPr>
              <w:pStyle w:val="11"/>
              <w:spacing w:before="93"/>
              <w:ind w:left="316" w:right="283"/>
              <w:rPr>
                <w:sz w:val="21"/>
              </w:rPr>
            </w:pPr>
            <w:r>
              <w:rPr>
                <w:sz w:val="21"/>
              </w:rPr>
              <w:t>达标</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3" w:hRule="atLeast"/>
        </w:trPr>
        <w:tc>
          <w:tcPr>
            <w:tcW w:w="915" w:type="dxa"/>
            <w:tcBorders>
              <w:top w:val="single" w:color="000000" w:sz="4" w:space="0"/>
              <w:bottom w:val="single" w:color="000000" w:sz="4" w:space="0"/>
              <w:right w:val="single" w:color="000000" w:sz="4" w:space="0"/>
            </w:tcBorders>
          </w:tcPr>
          <w:p>
            <w:pPr>
              <w:pStyle w:val="11"/>
              <w:spacing w:before="106"/>
              <w:ind w:left="19"/>
              <w:rPr>
                <w:rFonts w:ascii="Times New Roman"/>
                <w:sz w:val="21"/>
              </w:rPr>
            </w:pPr>
            <w:r>
              <w:rPr>
                <w:rFonts w:ascii="Times New Roman"/>
                <w:w w:val="99"/>
                <w:sz w:val="21"/>
              </w:rPr>
              <w:t>3</w:t>
            </w:r>
          </w:p>
        </w:tc>
        <w:tc>
          <w:tcPr>
            <w:tcW w:w="2976" w:type="dxa"/>
            <w:tcBorders>
              <w:top w:val="single" w:color="000000" w:sz="4" w:space="0"/>
              <w:left w:val="single" w:color="000000" w:sz="4" w:space="0"/>
              <w:bottom w:val="single" w:color="000000" w:sz="4" w:space="0"/>
              <w:right w:val="single" w:color="000000" w:sz="4" w:space="0"/>
            </w:tcBorders>
          </w:tcPr>
          <w:p>
            <w:pPr>
              <w:pStyle w:val="11"/>
              <w:spacing w:before="92"/>
              <w:ind w:left="635" w:right="607"/>
              <w:rPr>
                <w:sz w:val="21"/>
              </w:rPr>
            </w:pPr>
            <w:r>
              <w:rPr>
                <w:sz w:val="21"/>
              </w:rPr>
              <w:t>土壤流失控制比</w:t>
            </w:r>
          </w:p>
        </w:tc>
        <w:tc>
          <w:tcPr>
            <w:tcW w:w="1701" w:type="dxa"/>
            <w:tcBorders>
              <w:top w:val="single" w:color="000000" w:sz="4" w:space="0"/>
              <w:left w:val="single" w:color="000000" w:sz="4" w:space="0"/>
              <w:bottom w:val="single" w:color="000000" w:sz="4" w:space="0"/>
              <w:right w:val="single" w:color="000000" w:sz="4" w:space="0"/>
            </w:tcBorders>
          </w:tcPr>
          <w:p>
            <w:pPr>
              <w:pStyle w:val="11"/>
              <w:spacing w:before="106"/>
              <w:ind w:left="523" w:right="494"/>
              <w:rPr>
                <w:rFonts w:ascii="Times New Roman"/>
                <w:sz w:val="21"/>
              </w:rPr>
            </w:pPr>
            <w:r>
              <w:rPr>
                <w:rFonts w:ascii="Times New Roman"/>
                <w:sz w:val="21"/>
              </w:rPr>
              <w:t>2.5</w:t>
            </w:r>
          </w:p>
        </w:tc>
        <w:tc>
          <w:tcPr>
            <w:tcW w:w="1554" w:type="dxa"/>
            <w:tcBorders>
              <w:top w:val="single" w:color="000000" w:sz="4" w:space="0"/>
              <w:left w:val="single" w:color="000000" w:sz="4" w:space="0"/>
              <w:bottom w:val="single" w:color="000000" w:sz="4" w:space="0"/>
              <w:right w:val="single" w:color="000000" w:sz="4" w:space="0"/>
            </w:tcBorders>
          </w:tcPr>
          <w:p>
            <w:pPr>
              <w:pStyle w:val="11"/>
              <w:spacing w:before="106"/>
              <w:ind w:left="449" w:right="420"/>
              <w:rPr>
                <w:rFonts w:ascii="Times New Roman"/>
                <w:sz w:val="21"/>
              </w:rPr>
            </w:pPr>
            <w:r>
              <w:rPr>
                <w:rFonts w:ascii="Times New Roman"/>
                <w:sz w:val="21"/>
              </w:rPr>
              <w:t>2.5</w:t>
            </w:r>
          </w:p>
        </w:tc>
        <w:tc>
          <w:tcPr>
            <w:tcW w:w="1511" w:type="dxa"/>
            <w:tcBorders>
              <w:top w:val="single" w:color="000000" w:sz="4" w:space="0"/>
              <w:left w:val="single" w:color="000000" w:sz="4" w:space="0"/>
              <w:bottom w:val="single" w:color="000000" w:sz="4" w:space="0"/>
            </w:tcBorders>
          </w:tcPr>
          <w:p>
            <w:pPr>
              <w:pStyle w:val="11"/>
              <w:spacing w:before="92"/>
              <w:ind w:left="316" w:right="283"/>
              <w:rPr>
                <w:sz w:val="21"/>
              </w:rPr>
            </w:pPr>
            <w:r>
              <w:rPr>
                <w:sz w:val="21"/>
              </w:rPr>
              <w:t>达标</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trPr>
        <w:tc>
          <w:tcPr>
            <w:tcW w:w="915" w:type="dxa"/>
            <w:tcBorders>
              <w:top w:val="single" w:color="000000" w:sz="4" w:space="0"/>
              <w:bottom w:val="single" w:color="000000" w:sz="4" w:space="0"/>
              <w:right w:val="single" w:color="000000" w:sz="4" w:space="0"/>
            </w:tcBorders>
          </w:tcPr>
          <w:p>
            <w:pPr>
              <w:pStyle w:val="11"/>
              <w:spacing w:before="105"/>
              <w:ind w:left="19"/>
              <w:rPr>
                <w:rFonts w:ascii="Times New Roman"/>
                <w:sz w:val="21"/>
              </w:rPr>
            </w:pPr>
            <w:r>
              <w:rPr>
                <w:rFonts w:ascii="Times New Roman"/>
                <w:w w:val="99"/>
                <w:sz w:val="21"/>
              </w:rPr>
              <w:t>4</w:t>
            </w:r>
          </w:p>
        </w:tc>
        <w:tc>
          <w:tcPr>
            <w:tcW w:w="2976" w:type="dxa"/>
            <w:tcBorders>
              <w:top w:val="single" w:color="000000" w:sz="4" w:space="0"/>
              <w:left w:val="single" w:color="000000" w:sz="4" w:space="0"/>
              <w:bottom w:val="single" w:color="000000" w:sz="4" w:space="0"/>
              <w:right w:val="single" w:color="000000" w:sz="4" w:space="0"/>
            </w:tcBorders>
          </w:tcPr>
          <w:p>
            <w:pPr>
              <w:pStyle w:val="11"/>
              <w:spacing w:before="91"/>
              <w:ind w:left="635" w:right="607"/>
              <w:rPr>
                <w:sz w:val="21"/>
              </w:rPr>
            </w:pPr>
            <w:r>
              <w:rPr>
                <w:sz w:val="21"/>
              </w:rPr>
              <w:t>拦渣率</w:t>
            </w:r>
          </w:p>
        </w:tc>
        <w:tc>
          <w:tcPr>
            <w:tcW w:w="1701" w:type="dxa"/>
            <w:tcBorders>
              <w:top w:val="single" w:color="000000" w:sz="4" w:space="0"/>
              <w:left w:val="single" w:color="000000" w:sz="4" w:space="0"/>
              <w:bottom w:val="single" w:color="000000" w:sz="4" w:space="0"/>
              <w:right w:val="single" w:color="000000" w:sz="4" w:space="0"/>
            </w:tcBorders>
          </w:tcPr>
          <w:p>
            <w:pPr>
              <w:pStyle w:val="11"/>
              <w:spacing w:before="105"/>
              <w:ind w:left="522" w:right="495"/>
              <w:rPr>
                <w:rFonts w:ascii="Times New Roman"/>
                <w:sz w:val="21"/>
              </w:rPr>
            </w:pPr>
            <w:r>
              <w:rPr>
                <w:rFonts w:ascii="Times New Roman"/>
                <w:sz w:val="21"/>
              </w:rPr>
              <w:t>97%</w:t>
            </w:r>
          </w:p>
        </w:tc>
        <w:tc>
          <w:tcPr>
            <w:tcW w:w="1554" w:type="dxa"/>
            <w:tcBorders>
              <w:top w:val="single" w:color="000000" w:sz="4" w:space="0"/>
              <w:left w:val="single" w:color="000000" w:sz="4" w:space="0"/>
              <w:bottom w:val="single" w:color="000000" w:sz="4" w:space="0"/>
              <w:right w:val="single" w:color="000000" w:sz="4" w:space="0"/>
            </w:tcBorders>
          </w:tcPr>
          <w:p>
            <w:pPr>
              <w:pStyle w:val="11"/>
              <w:spacing w:before="105"/>
              <w:ind w:left="449" w:right="420"/>
              <w:rPr>
                <w:rFonts w:ascii="Times New Roman"/>
                <w:sz w:val="21"/>
              </w:rPr>
            </w:pPr>
            <w:r>
              <w:rPr>
                <w:rFonts w:ascii="Times New Roman"/>
                <w:sz w:val="21"/>
              </w:rPr>
              <w:t>99.8%</w:t>
            </w:r>
          </w:p>
        </w:tc>
        <w:tc>
          <w:tcPr>
            <w:tcW w:w="1511" w:type="dxa"/>
            <w:tcBorders>
              <w:top w:val="single" w:color="000000" w:sz="4" w:space="0"/>
              <w:left w:val="single" w:color="000000" w:sz="4" w:space="0"/>
              <w:bottom w:val="single" w:color="000000" w:sz="4" w:space="0"/>
            </w:tcBorders>
          </w:tcPr>
          <w:p>
            <w:pPr>
              <w:pStyle w:val="11"/>
              <w:spacing w:before="91"/>
              <w:ind w:left="316" w:right="283"/>
              <w:rPr>
                <w:sz w:val="21"/>
              </w:rPr>
            </w:pPr>
            <w:r>
              <w:rPr>
                <w:sz w:val="21"/>
              </w:rPr>
              <w:t>达标</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3" w:hRule="atLeast"/>
        </w:trPr>
        <w:tc>
          <w:tcPr>
            <w:tcW w:w="915" w:type="dxa"/>
            <w:tcBorders>
              <w:top w:val="single" w:color="000000" w:sz="4" w:space="0"/>
              <w:right w:val="single" w:color="000000" w:sz="4" w:space="0"/>
            </w:tcBorders>
          </w:tcPr>
          <w:p>
            <w:pPr>
              <w:pStyle w:val="11"/>
              <w:spacing w:before="107"/>
              <w:ind w:left="19"/>
              <w:rPr>
                <w:rFonts w:ascii="Times New Roman"/>
                <w:sz w:val="21"/>
              </w:rPr>
            </w:pPr>
            <w:r>
              <w:rPr>
                <w:rFonts w:ascii="Times New Roman"/>
                <w:w w:val="99"/>
                <w:sz w:val="21"/>
              </w:rPr>
              <w:t>5</w:t>
            </w:r>
          </w:p>
        </w:tc>
        <w:tc>
          <w:tcPr>
            <w:tcW w:w="2976" w:type="dxa"/>
            <w:tcBorders>
              <w:top w:val="single" w:color="000000" w:sz="4" w:space="0"/>
              <w:left w:val="single" w:color="000000" w:sz="4" w:space="0"/>
              <w:right w:val="single" w:color="000000" w:sz="4" w:space="0"/>
            </w:tcBorders>
          </w:tcPr>
          <w:p>
            <w:pPr>
              <w:pStyle w:val="11"/>
              <w:spacing w:before="93"/>
              <w:ind w:left="635" w:right="607"/>
              <w:rPr>
                <w:sz w:val="21"/>
              </w:rPr>
            </w:pPr>
            <w:r>
              <w:rPr>
                <w:sz w:val="21"/>
              </w:rPr>
              <w:t>林草植被恢复率</w:t>
            </w:r>
          </w:p>
        </w:tc>
        <w:tc>
          <w:tcPr>
            <w:tcW w:w="1701" w:type="dxa"/>
            <w:tcBorders>
              <w:top w:val="single" w:color="000000" w:sz="4" w:space="0"/>
              <w:left w:val="single" w:color="000000" w:sz="4" w:space="0"/>
              <w:right w:val="single" w:color="000000" w:sz="4" w:space="0"/>
            </w:tcBorders>
          </w:tcPr>
          <w:p>
            <w:pPr>
              <w:pStyle w:val="11"/>
              <w:spacing w:before="107"/>
              <w:ind w:left="522" w:right="495"/>
              <w:rPr>
                <w:rFonts w:ascii="Times New Roman"/>
                <w:sz w:val="21"/>
              </w:rPr>
            </w:pPr>
            <w:r>
              <w:rPr>
                <w:rFonts w:ascii="Times New Roman"/>
                <w:sz w:val="21"/>
              </w:rPr>
              <w:t>99%</w:t>
            </w:r>
          </w:p>
        </w:tc>
        <w:tc>
          <w:tcPr>
            <w:tcW w:w="1554" w:type="dxa"/>
            <w:tcBorders>
              <w:top w:val="single" w:color="000000" w:sz="4" w:space="0"/>
              <w:left w:val="single" w:color="000000" w:sz="4" w:space="0"/>
              <w:right w:val="single" w:color="000000" w:sz="4" w:space="0"/>
            </w:tcBorders>
          </w:tcPr>
          <w:p>
            <w:pPr>
              <w:pStyle w:val="11"/>
              <w:spacing w:before="107"/>
              <w:ind w:left="449" w:right="420"/>
              <w:rPr>
                <w:rFonts w:ascii="Times New Roman"/>
                <w:sz w:val="21"/>
              </w:rPr>
            </w:pPr>
            <w:r>
              <w:rPr>
                <w:rFonts w:ascii="Times New Roman"/>
                <w:sz w:val="21"/>
              </w:rPr>
              <w:t>100%</w:t>
            </w:r>
          </w:p>
        </w:tc>
        <w:tc>
          <w:tcPr>
            <w:tcW w:w="1511" w:type="dxa"/>
            <w:tcBorders>
              <w:top w:val="single" w:color="000000" w:sz="4" w:space="0"/>
              <w:left w:val="single" w:color="000000" w:sz="4" w:space="0"/>
            </w:tcBorders>
          </w:tcPr>
          <w:p>
            <w:pPr>
              <w:pStyle w:val="11"/>
              <w:spacing w:before="93"/>
              <w:ind w:left="316" w:right="283"/>
              <w:rPr>
                <w:sz w:val="21"/>
              </w:rPr>
            </w:pPr>
            <w:r>
              <w:rPr>
                <w:sz w:val="21"/>
              </w:rPr>
              <w:t>达标</w:t>
            </w:r>
          </w:p>
        </w:tc>
      </w:tr>
    </w:tbl>
    <w:p>
      <w:pPr>
        <w:spacing w:after="0"/>
        <w:rPr>
          <w:sz w:val="21"/>
        </w:rPr>
        <w:sectPr>
          <w:pgSz w:w="11910" w:h="16840"/>
          <w:pgMar w:top="1300" w:right="1160" w:bottom="1200" w:left="1420" w:header="878" w:footer="1005" w:gutter="0"/>
          <w:cols w:space="720" w:num="1"/>
        </w:sectPr>
      </w:pPr>
    </w:p>
    <w:p>
      <w:pPr>
        <w:pStyle w:val="4"/>
        <w:spacing w:before="7"/>
        <w:rPr>
          <w:rFonts w:ascii="宋体"/>
          <w:b/>
          <w:sz w:val="8"/>
        </w:rPr>
      </w:pPr>
    </w:p>
    <w:p>
      <w:pPr>
        <w:pStyle w:val="2"/>
        <w:ind w:right="135"/>
      </w:pPr>
      <w:bookmarkStart w:id="35" w:name="_TOC_250006"/>
      <w:bookmarkEnd w:id="35"/>
      <w:r>
        <w:t>十、水土保持设施管理维护评价</w:t>
      </w:r>
    </w:p>
    <w:p>
      <w:pPr>
        <w:pStyle w:val="4"/>
        <w:spacing w:before="12"/>
        <w:rPr>
          <w:rFonts w:ascii="黑体"/>
          <w:b/>
          <w:sz w:val="31"/>
        </w:rPr>
      </w:pPr>
    </w:p>
    <w:p>
      <w:pPr>
        <w:pStyle w:val="4"/>
        <w:spacing w:line="417" w:lineRule="auto"/>
        <w:ind w:left="111" w:right="241" w:firstLine="561"/>
        <w:jc w:val="both"/>
      </w:pPr>
      <w:r>
        <w:rPr>
          <w:spacing w:val="-3"/>
        </w:rPr>
        <w:t>由于本项目为地下管道工程，建设施工用地性质为临时占地，完工后</w:t>
      </w:r>
      <w:r>
        <w:rPr>
          <w:spacing w:val="-13"/>
        </w:rPr>
        <w:t xml:space="preserve">路面恢复，交还道路管理单位，故本项目运行期防治责任范围为 </w:t>
      </w:r>
      <w:r>
        <w:rPr>
          <w:spacing w:val="-12"/>
        </w:rPr>
        <w:t>0m</w:t>
      </w:r>
      <w:r>
        <w:rPr>
          <w:spacing w:val="-12"/>
          <w:position w:val="14"/>
          <w:sz w:val="14"/>
        </w:rPr>
        <w:t>2</w:t>
      </w:r>
      <w:r>
        <w:rPr>
          <w:spacing w:val="-4"/>
        </w:rPr>
        <w:t>，工程</w:t>
      </w:r>
      <w:r>
        <w:rPr>
          <w:spacing w:val="-3"/>
        </w:rPr>
        <w:t>管网设施的管理维护试运行期由施工单位承担至竣工验收，工程竣工验收完成施工单位退场后交暂时交由建设单位深圳市龙岗区龙岗街道办事处负责运行管理。</w:t>
      </w:r>
    </w:p>
    <w:p>
      <w:pPr>
        <w:pStyle w:val="4"/>
        <w:spacing w:line="417" w:lineRule="auto"/>
        <w:ind w:left="111" w:right="241" w:firstLine="559"/>
        <w:jc w:val="both"/>
      </w:pPr>
      <w:r>
        <w:rPr>
          <w:spacing w:val="-16"/>
        </w:rPr>
        <w:t xml:space="preserve">本项目于 </w:t>
      </w:r>
      <w:r>
        <w:t>2016</w:t>
      </w:r>
      <w:r>
        <w:rPr>
          <w:spacing w:val="-47"/>
        </w:rPr>
        <w:t xml:space="preserve"> 年 </w:t>
      </w:r>
      <w:r>
        <w:t>9</w:t>
      </w:r>
      <w:r>
        <w:rPr>
          <w:spacing w:val="-16"/>
        </w:rPr>
        <w:t xml:space="preserve"> 月开工，</w:t>
      </w:r>
      <w:r>
        <w:rPr>
          <w:spacing w:val="-7"/>
        </w:rPr>
        <w:t>2019</w:t>
      </w:r>
      <w:r>
        <w:rPr>
          <w:spacing w:val="-46"/>
        </w:rPr>
        <w:t xml:space="preserve"> 年 </w:t>
      </w:r>
      <w:r>
        <w:t>10</w:t>
      </w:r>
      <w:r>
        <w:rPr>
          <w:spacing w:val="-12"/>
        </w:rPr>
        <w:t xml:space="preserve"> 月完工。建设单位在项目建设</w:t>
      </w:r>
      <w:r>
        <w:rPr>
          <w:spacing w:val="-3"/>
        </w:rPr>
        <w:t>完工后，建立了管理维护责任制，对管网设施出现的局部损坏进行修复、加固，将水土保持设施管理维护责任落实到位，确保水土保持设施发挥长期、稳定、有效的保持水土、改善生态环境的作用。</w:t>
      </w:r>
    </w:p>
    <w:p>
      <w:pPr>
        <w:pStyle w:val="4"/>
        <w:spacing w:line="417" w:lineRule="auto"/>
        <w:ind w:left="111" w:right="241" w:firstLine="556"/>
      </w:pPr>
      <w:r>
        <w:rPr>
          <w:spacing w:val="-3"/>
        </w:rPr>
        <w:t>从目前运行情况看，有关水土保持设施后续管理维护工作责任到位， 并取得较好效果，水土保持设施能够持续发挥效益。</w:t>
      </w:r>
    </w:p>
    <w:p>
      <w:pPr>
        <w:spacing w:after="0" w:line="417" w:lineRule="auto"/>
        <w:sectPr>
          <w:footerReference r:id="rId9" w:type="default"/>
          <w:pgSz w:w="11910" w:h="16840"/>
          <w:pgMar w:top="1300" w:right="1160" w:bottom="1200" w:left="1420" w:header="878" w:footer="1005" w:gutter="0"/>
          <w:pgNumType w:start="30"/>
          <w:cols w:space="720" w:num="1"/>
        </w:sectPr>
      </w:pPr>
    </w:p>
    <w:p>
      <w:pPr>
        <w:pStyle w:val="4"/>
        <w:spacing w:before="7"/>
        <w:rPr>
          <w:sz w:val="8"/>
        </w:rPr>
      </w:pPr>
    </w:p>
    <w:p>
      <w:pPr>
        <w:pStyle w:val="2"/>
        <w:ind w:right="135"/>
      </w:pPr>
      <w:bookmarkStart w:id="36" w:name="_TOC_250005"/>
      <w:bookmarkEnd w:id="36"/>
      <w:r>
        <w:t>十一、综合结论</w:t>
      </w:r>
    </w:p>
    <w:p>
      <w:pPr>
        <w:pStyle w:val="4"/>
        <w:spacing w:before="12"/>
        <w:rPr>
          <w:rFonts w:ascii="黑体"/>
          <w:b/>
          <w:sz w:val="31"/>
        </w:rPr>
      </w:pPr>
    </w:p>
    <w:p>
      <w:pPr>
        <w:pStyle w:val="4"/>
        <w:spacing w:line="417" w:lineRule="auto"/>
        <w:ind w:left="111" w:right="241" w:firstLine="559"/>
        <w:jc w:val="both"/>
      </w:pPr>
      <w:r>
        <w:t>建设单位在深圳市龙岗区龙城街道龙西社区雨污分流管网工程项目建设过程中能够履行水土保持法律、法规规定的防治责任，积极落实防治责任范围内的各项水土保持措施。在工程施工过程中，优化施工设计和工艺程序，基本按照水土保持方案及批复的施工图设计所确定的内容落实防治措施，工程质量满足了设计和有关规范的要求。</w:t>
      </w:r>
    </w:p>
    <w:p>
      <w:pPr>
        <w:pStyle w:val="4"/>
        <w:spacing w:line="417" w:lineRule="auto"/>
        <w:ind w:left="111" w:right="102" w:firstLine="559"/>
      </w:pPr>
      <w:r>
        <w:rPr>
          <w:spacing w:val="-3"/>
        </w:rPr>
        <w:t>本项目建设严格实行项目法人制、招投标制、建设监理制和合同管理制。同时，深圳市水务局、龙岗区水行政主管部门和水土保持监督管理部</w:t>
      </w:r>
      <w:r>
        <w:rPr>
          <w:spacing w:val="-11"/>
        </w:rPr>
        <w:t xml:space="preserve">门对本项目工程建设作了跟踪监督检查，加大了工程建设的监督检查力度， 从而确保了水土保持工程质量。监督检查结果表明，实施的水土保持措施， </w:t>
      </w:r>
      <w:r>
        <w:rPr>
          <w:spacing w:val="-14"/>
        </w:rPr>
        <w:t xml:space="preserve">达到防治要求。项目自 </w:t>
      </w:r>
      <w:r>
        <w:t>2016</w:t>
      </w:r>
      <w:r>
        <w:rPr>
          <w:spacing w:val="-47"/>
        </w:rPr>
        <w:t xml:space="preserve"> 年 </w:t>
      </w:r>
      <w:r>
        <w:t>9</w:t>
      </w:r>
      <w:r>
        <w:rPr>
          <w:spacing w:val="-16"/>
        </w:rPr>
        <w:t xml:space="preserve"> 月开工以来，已经安全度过了 </w:t>
      </w:r>
      <w:r>
        <w:t xml:space="preserve">2017-2019 </w:t>
      </w:r>
      <w:r>
        <w:rPr>
          <w:spacing w:val="-3"/>
        </w:rPr>
        <w:t>年整整三个雨季的考验。</w:t>
      </w:r>
    </w:p>
    <w:p>
      <w:pPr>
        <w:pStyle w:val="4"/>
        <w:spacing w:line="417" w:lineRule="auto"/>
        <w:ind w:left="111" w:right="243" w:firstLine="559"/>
        <w:jc w:val="both"/>
      </w:pPr>
      <w:r>
        <w:t>本项目水土保持工程质量管理体系健全，设计、施工和监理的质量责任明确，管理严格，经过建设各方的紧密配合，地方水行政主管部门的支持和协作，使防治责任范围内的水土流失进行了得到了有效的治理，项目区的生态环境得到恢复，水土保持设施的管理维护责任明确，可以保证水土保持功能的持续有效发挥。</w:t>
      </w:r>
    </w:p>
    <w:p>
      <w:pPr>
        <w:pStyle w:val="4"/>
        <w:spacing w:line="417" w:lineRule="auto"/>
        <w:ind w:left="111" w:right="102" w:firstLine="559"/>
      </w:pPr>
      <w:r>
        <w:rPr>
          <w:spacing w:val="-3"/>
        </w:rPr>
        <w:t>经实地抽查评估和对相关档案资料的查阅，我司认为深圳市龙岗区龙</w:t>
      </w:r>
      <w:r>
        <w:rPr>
          <w:spacing w:val="-8"/>
        </w:rPr>
        <w:t xml:space="preserve">城街道龙西社区雨污分流管网工程水土保持设施布局合理，设计标准较高， </w:t>
      </w:r>
      <w:r>
        <w:rPr>
          <w:spacing w:val="-5"/>
        </w:rPr>
        <w:t>完成的质量和数量符合设计要求，基本实现控制水土流失、恢复和改善生</w:t>
      </w:r>
      <w:r>
        <w:rPr>
          <w:spacing w:val="-4"/>
        </w:rPr>
        <w:t>态环境的设计目标；工程档案管理规范，竣工资料齐全，质量检验和评定</w:t>
      </w:r>
      <w:r>
        <w:rPr>
          <w:spacing w:val="-14"/>
        </w:rPr>
        <w:t>程序规范；水土保持设施质量总体合格，试运行期间未发现重大质量缺陷，</w:t>
      </w:r>
    </w:p>
    <w:p>
      <w:pPr>
        <w:spacing w:after="0" w:line="417" w:lineRule="auto"/>
        <w:sectPr>
          <w:pgSz w:w="11910" w:h="16840"/>
          <w:pgMar w:top="1300" w:right="1160" w:bottom="1200" w:left="1420" w:header="878" w:footer="1005" w:gutter="0"/>
          <w:cols w:space="720" w:num="1"/>
        </w:sectPr>
      </w:pPr>
    </w:p>
    <w:p>
      <w:pPr>
        <w:pStyle w:val="4"/>
        <w:spacing w:before="4"/>
        <w:rPr>
          <w:sz w:val="9"/>
        </w:rPr>
      </w:pPr>
    </w:p>
    <w:p>
      <w:pPr>
        <w:pStyle w:val="4"/>
        <w:spacing w:before="61" w:line="417" w:lineRule="auto"/>
        <w:ind w:left="111" w:right="243"/>
      </w:pPr>
      <w:r>
        <w:t>具备较强的水土保持功能；水土保持设施所产生的经济效益、生态效益以及社会效益能够满足国家对开发建设项目水土保持的要求。</w:t>
      </w:r>
    </w:p>
    <w:p>
      <w:pPr>
        <w:pStyle w:val="4"/>
        <w:spacing w:line="417" w:lineRule="auto"/>
        <w:ind w:left="111" w:right="241" w:firstLine="556"/>
        <w:jc w:val="both"/>
      </w:pPr>
      <w:r>
        <w:t>综上所述，我司认为深圳市龙岗区龙城街道龙西社区雨污分流管网工程基本完成了水土保持方案和设计要求的水土保持工程相关内容以及开发建设项目所要求的水土流失防治任务，完成的各项工程安全可靠，工程质量总体合格，水土保持设施达到了国家水土保持法律法规及技术标准规定的验收条件，可以组织竣工验收，并向水土保持方案审批单位即区水行政主管部门申请水土保持设施验收备案。</w:t>
      </w:r>
    </w:p>
    <w:p>
      <w:pPr>
        <w:spacing w:after="0" w:line="417" w:lineRule="auto"/>
        <w:jc w:val="both"/>
        <w:sectPr>
          <w:pgSz w:w="11910" w:h="16840"/>
          <w:pgMar w:top="1300" w:right="1160" w:bottom="1200" w:left="1420" w:header="878" w:footer="1005" w:gutter="0"/>
          <w:cols w:space="720" w:num="1"/>
        </w:sectPr>
      </w:pPr>
    </w:p>
    <w:p>
      <w:pPr>
        <w:pStyle w:val="4"/>
        <w:spacing w:before="7"/>
        <w:rPr>
          <w:sz w:val="8"/>
        </w:rPr>
      </w:pPr>
    </w:p>
    <w:p>
      <w:pPr>
        <w:pStyle w:val="2"/>
        <w:ind w:right="135"/>
      </w:pPr>
      <w:bookmarkStart w:id="37" w:name="_TOC_250004"/>
      <w:bookmarkEnd w:id="37"/>
      <w:r>
        <w:t>十二、遗留问题及建议</w:t>
      </w:r>
    </w:p>
    <w:p>
      <w:pPr>
        <w:pStyle w:val="4"/>
        <w:spacing w:before="1"/>
        <w:rPr>
          <w:rFonts w:ascii="黑体"/>
          <w:b/>
          <w:sz w:val="27"/>
        </w:rPr>
      </w:pPr>
    </w:p>
    <w:p>
      <w:pPr>
        <w:pStyle w:val="3"/>
        <w:spacing w:before="62" w:line="240" w:lineRule="auto"/>
        <w:ind w:left="668"/>
      </w:pPr>
      <w:bookmarkStart w:id="38" w:name="_TOC_250003"/>
      <w:bookmarkEnd w:id="38"/>
      <w:r>
        <w:t>1、遗留问题</w:t>
      </w:r>
    </w:p>
    <w:p>
      <w:pPr>
        <w:pStyle w:val="4"/>
        <w:spacing w:before="9"/>
        <w:rPr>
          <w:b/>
          <w:sz w:val="20"/>
        </w:rPr>
      </w:pPr>
    </w:p>
    <w:p>
      <w:pPr>
        <w:pStyle w:val="4"/>
        <w:spacing w:line="417" w:lineRule="auto"/>
        <w:ind w:left="111" w:right="243" w:firstLine="559"/>
        <w:jc w:val="both"/>
      </w:pPr>
      <w:r>
        <w:t>我司在开展本项目水土保持设施验收评估工作过程中深入工程现场， 对水土流失防治责任范围内的水土保持设施进行了实地查勘，并对水土保持工程资料、监理资料等进行了查阅。</w:t>
      </w:r>
    </w:p>
    <w:p>
      <w:pPr>
        <w:pStyle w:val="4"/>
        <w:spacing w:line="417" w:lineRule="auto"/>
        <w:ind w:left="111" w:right="102" w:firstLine="556"/>
      </w:pPr>
      <w:r>
        <w:rPr>
          <w:spacing w:val="-3"/>
        </w:rPr>
        <w:t>本项目工程建设范围内占地均已恢复，区内基本无裸露地表。总体来</w:t>
      </w:r>
      <w:r>
        <w:rPr>
          <w:spacing w:val="-9"/>
        </w:rPr>
        <w:t xml:space="preserve">讲目前本项目已实施的水土保持措施均已发挥效益，有效防治了水土流失， </w:t>
      </w:r>
      <w:r>
        <w:rPr>
          <w:spacing w:val="-3"/>
        </w:rPr>
        <w:t>水土保持措施防治效果明显，目前不存在明显的水土保持问题。</w:t>
      </w:r>
    </w:p>
    <w:p>
      <w:pPr>
        <w:pStyle w:val="4"/>
        <w:spacing w:line="417" w:lineRule="auto"/>
        <w:ind w:left="111" w:right="243" w:firstLine="559"/>
        <w:jc w:val="both"/>
      </w:pPr>
      <w:r>
        <w:t>但由于本项目开工后主要的土方施工期经历了雨季降雨，且并未委托专业单位或自行开展施工期水土保持监测工作，施工期水土保持防治工作缺乏定期专业、科学的指导，一定程度上增加了雨季施工开挖阶段的水土流失。</w:t>
      </w:r>
    </w:p>
    <w:p>
      <w:pPr>
        <w:pStyle w:val="3"/>
        <w:ind w:left="668"/>
      </w:pPr>
      <w:bookmarkStart w:id="39" w:name="_TOC_250002"/>
      <w:bookmarkEnd w:id="39"/>
      <w:r>
        <w:t>2、建议</w:t>
      </w:r>
    </w:p>
    <w:p>
      <w:pPr>
        <w:pStyle w:val="4"/>
        <w:spacing w:before="7"/>
        <w:rPr>
          <w:b/>
          <w:sz w:val="20"/>
        </w:rPr>
      </w:pPr>
    </w:p>
    <w:p>
      <w:pPr>
        <w:pStyle w:val="10"/>
        <w:numPr>
          <w:ilvl w:val="2"/>
          <w:numId w:val="15"/>
        </w:numPr>
        <w:tabs>
          <w:tab w:val="left" w:pos="1373"/>
        </w:tabs>
        <w:spacing w:before="1" w:after="0" w:line="417" w:lineRule="auto"/>
        <w:ind w:left="111" w:right="243" w:firstLine="559"/>
        <w:jc w:val="left"/>
        <w:rPr>
          <w:sz w:val="28"/>
        </w:rPr>
      </w:pPr>
      <w:r>
        <w:rPr>
          <w:spacing w:val="-8"/>
          <w:sz w:val="28"/>
        </w:rPr>
        <w:t>工程管网系统设施要加强后期管护、维修工作，保证整个系统</w:t>
      </w:r>
      <w:r>
        <w:rPr>
          <w:spacing w:val="-5"/>
          <w:sz w:val="28"/>
        </w:rPr>
        <w:t>正常运行，发挥效益。</w:t>
      </w:r>
    </w:p>
    <w:p>
      <w:pPr>
        <w:pStyle w:val="10"/>
        <w:numPr>
          <w:ilvl w:val="2"/>
          <w:numId w:val="15"/>
        </w:numPr>
        <w:tabs>
          <w:tab w:val="left" w:pos="1370"/>
        </w:tabs>
        <w:spacing w:before="0" w:after="0" w:line="417" w:lineRule="auto"/>
        <w:ind w:left="111" w:right="116" w:firstLine="556"/>
        <w:jc w:val="left"/>
        <w:rPr>
          <w:sz w:val="28"/>
        </w:rPr>
      </w:pPr>
      <w:r>
        <w:rPr>
          <w:spacing w:val="-3"/>
          <w:sz w:val="28"/>
        </w:rPr>
        <w:t>以后的开发建设项目施工进度安排上，开挖施工尽量避开雨季， 开工后及时委托开展施工期水土保持监测工作，从而最大程度的控制和减少施工初期</w:t>
      </w:r>
      <w:r>
        <w:rPr>
          <w:sz w:val="28"/>
        </w:rPr>
        <w:t>（</w:t>
      </w:r>
      <w:r>
        <w:rPr>
          <w:spacing w:val="-3"/>
          <w:sz w:val="28"/>
        </w:rPr>
        <w:t>土石方开挖施工期</w:t>
      </w:r>
      <w:r>
        <w:rPr>
          <w:sz w:val="28"/>
        </w:rPr>
        <w:t>）</w:t>
      </w:r>
      <w:r>
        <w:rPr>
          <w:spacing w:val="-3"/>
          <w:sz w:val="28"/>
        </w:rPr>
        <w:t>的水土流失。</w:t>
      </w:r>
    </w:p>
    <w:p>
      <w:pPr>
        <w:spacing w:after="0" w:line="417" w:lineRule="auto"/>
        <w:jc w:val="left"/>
        <w:rPr>
          <w:sz w:val="28"/>
        </w:rPr>
        <w:sectPr>
          <w:pgSz w:w="11910" w:h="16840"/>
          <w:pgMar w:top="1300" w:right="1160" w:bottom="1200" w:left="1420" w:header="878" w:footer="1005" w:gutter="0"/>
          <w:cols w:space="720" w:num="1"/>
        </w:sectPr>
      </w:pPr>
    </w:p>
    <w:p>
      <w:pPr>
        <w:pStyle w:val="4"/>
        <w:spacing w:before="7"/>
        <w:rPr>
          <w:sz w:val="8"/>
        </w:rPr>
      </w:pPr>
    </w:p>
    <w:p>
      <w:pPr>
        <w:pStyle w:val="2"/>
      </w:pPr>
      <w:bookmarkStart w:id="40" w:name="_TOC_250001"/>
      <w:bookmarkEnd w:id="40"/>
      <w:r>
        <w:t>十三、附件及附图</w:t>
      </w:r>
    </w:p>
    <w:p>
      <w:pPr>
        <w:pStyle w:val="4"/>
        <w:spacing w:before="1"/>
        <w:rPr>
          <w:rFonts w:ascii="黑体"/>
          <w:b/>
          <w:sz w:val="27"/>
        </w:rPr>
      </w:pPr>
    </w:p>
    <w:p>
      <w:pPr>
        <w:pStyle w:val="3"/>
        <w:spacing w:before="62" w:line="240" w:lineRule="auto"/>
        <w:ind w:left="111"/>
      </w:pPr>
      <w:bookmarkStart w:id="41" w:name="_TOC_250000"/>
      <w:bookmarkEnd w:id="41"/>
      <w:r>
        <w:t>1、附件</w:t>
      </w:r>
    </w:p>
    <w:p>
      <w:pPr>
        <w:pStyle w:val="4"/>
        <w:spacing w:before="9"/>
        <w:rPr>
          <w:b/>
          <w:sz w:val="20"/>
        </w:rPr>
      </w:pPr>
    </w:p>
    <w:p>
      <w:pPr>
        <w:pStyle w:val="10"/>
        <w:numPr>
          <w:ilvl w:val="0"/>
          <w:numId w:val="16"/>
        </w:numPr>
        <w:tabs>
          <w:tab w:val="left" w:pos="814"/>
        </w:tabs>
        <w:spacing w:before="0" w:after="0" w:line="240" w:lineRule="auto"/>
        <w:ind w:left="813" w:right="0" w:hanging="703"/>
        <w:jc w:val="left"/>
        <w:rPr>
          <w:sz w:val="28"/>
        </w:rPr>
      </w:pPr>
      <w:r>
        <w:rPr>
          <w:spacing w:val="-3"/>
          <w:sz w:val="28"/>
        </w:rPr>
        <w:t>项目建设及水土保持大事记；</w:t>
      </w:r>
    </w:p>
    <w:p>
      <w:pPr>
        <w:pStyle w:val="4"/>
        <w:spacing w:before="9"/>
        <w:rPr>
          <w:sz w:val="20"/>
        </w:rPr>
      </w:pPr>
    </w:p>
    <w:p>
      <w:pPr>
        <w:pStyle w:val="10"/>
        <w:numPr>
          <w:ilvl w:val="0"/>
          <w:numId w:val="16"/>
        </w:numPr>
        <w:tabs>
          <w:tab w:val="left" w:pos="814"/>
        </w:tabs>
        <w:spacing w:before="0" w:after="0" w:line="240" w:lineRule="auto"/>
        <w:ind w:left="813" w:right="0" w:hanging="703"/>
        <w:jc w:val="left"/>
        <w:rPr>
          <w:sz w:val="28"/>
        </w:rPr>
      </w:pPr>
      <w:r>
        <w:rPr>
          <w:spacing w:val="-3"/>
          <w:sz w:val="28"/>
        </w:rPr>
        <w:t>项目立项</w:t>
      </w:r>
      <w:r>
        <w:rPr>
          <w:sz w:val="28"/>
        </w:rPr>
        <w:t>（</w:t>
      </w:r>
      <w:r>
        <w:rPr>
          <w:spacing w:val="-3"/>
          <w:sz w:val="28"/>
        </w:rPr>
        <w:t>审批、核准、报备</w:t>
      </w:r>
      <w:r>
        <w:rPr>
          <w:sz w:val="28"/>
        </w:rPr>
        <w:t>）</w:t>
      </w:r>
      <w:r>
        <w:rPr>
          <w:spacing w:val="-2"/>
          <w:sz w:val="28"/>
        </w:rPr>
        <w:t>文件；</w:t>
      </w:r>
    </w:p>
    <w:p>
      <w:pPr>
        <w:pStyle w:val="4"/>
        <w:spacing w:before="9"/>
        <w:rPr>
          <w:sz w:val="20"/>
        </w:rPr>
      </w:pPr>
    </w:p>
    <w:p>
      <w:pPr>
        <w:pStyle w:val="10"/>
        <w:numPr>
          <w:ilvl w:val="0"/>
          <w:numId w:val="16"/>
        </w:numPr>
        <w:tabs>
          <w:tab w:val="left" w:pos="814"/>
        </w:tabs>
        <w:spacing w:before="0" w:after="0" w:line="240" w:lineRule="auto"/>
        <w:ind w:left="813" w:right="0" w:hanging="703"/>
        <w:jc w:val="left"/>
        <w:rPr>
          <w:sz w:val="28"/>
        </w:rPr>
      </w:pPr>
      <w:r>
        <w:rPr>
          <w:spacing w:val="-3"/>
          <w:sz w:val="28"/>
        </w:rPr>
        <w:t>水土保持方案、重大变更及其批复文件；</w:t>
      </w:r>
    </w:p>
    <w:p>
      <w:pPr>
        <w:pStyle w:val="4"/>
        <w:spacing w:before="9"/>
        <w:rPr>
          <w:sz w:val="20"/>
        </w:rPr>
      </w:pPr>
    </w:p>
    <w:p>
      <w:pPr>
        <w:pStyle w:val="10"/>
        <w:numPr>
          <w:ilvl w:val="0"/>
          <w:numId w:val="16"/>
        </w:numPr>
        <w:tabs>
          <w:tab w:val="left" w:pos="814"/>
        </w:tabs>
        <w:spacing w:before="0" w:after="0" w:line="240" w:lineRule="auto"/>
        <w:ind w:left="813" w:right="0" w:hanging="703"/>
        <w:jc w:val="left"/>
        <w:rPr>
          <w:sz w:val="28"/>
        </w:rPr>
      </w:pPr>
      <w:r>
        <w:rPr>
          <w:spacing w:val="-3"/>
          <w:sz w:val="28"/>
        </w:rPr>
        <w:t>水土保持初步设计或施工图设计审批</w:t>
      </w:r>
      <w:r>
        <w:rPr>
          <w:sz w:val="28"/>
        </w:rPr>
        <w:t>（</w:t>
      </w:r>
      <w:r>
        <w:rPr>
          <w:spacing w:val="-3"/>
          <w:sz w:val="28"/>
        </w:rPr>
        <w:t>审查、审核</w:t>
      </w:r>
      <w:r>
        <w:rPr>
          <w:sz w:val="28"/>
        </w:rPr>
        <w:t>）</w:t>
      </w:r>
      <w:r>
        <w:rPr>
          <w:spacing w:val="-2"/>
          <w:sz w:val="28"/>
        </w:rPr>
        <w:t>资料；</w:t>
      </w:r>
    </w:p>
    <w:p>
      <w:pPr>
        <w:pStyle w:val="4"/>
        <w:spacing w:before="9"/>
        <w:rPr>
          <w:sz w:val="20"/>
        </w:rPr>
      </w:pPr>
    </w:p>
    <w:p>
      <w:pPr>
        <w:pStyle w:val="10"/>
        <w:numPr>
          <w:ilvl w:val="0"/>
          <w:numId w:val="16"/>
        </w:numPr>
        <w:tabs>
          <w:tab w:val="left" w:pos="814"/>
        </w:tabs>
        <w:spacing w:before="0" w:after="0" w:line="240" w:lineRule="auto"/>
        <w:ind w:left="813" w:right="0" w:hanging="703"/>
        <w:jc w:val="left"/>
        <w:rPr>
          <w:sz w:val="28"/>
        </w:rPr>
      </w:pPr>
      <w:r>
        <w:rPr>
          <w:spacing w:val="-3"/>
          <w:sz w:val="28"/>
        </w:rPr>
        <w:t>水行政主管部门的监督检查意见；</w:t>
      </w:r>
    </w:p>
    <w:p>
      <w:pPr>
        <w:pStyle w:val="4"/>
        <w:spacing w:before="9"/>
        <w:rPr>
          <w:sz w:val="20"/>
        </w:rPr>
      </w:pPr>
    </w:p>
    <w:p>
      <w:pPr>
        <w:pStyle w:val="10"/>
        <w:numPr>
          <w:ilvl w:val="0"/>
          <w:numId w:val="16"/>
        </w:numPr>
        <w:tabs>
          <w:tab w:val="left" w:pos="814"/>
        </w:tabs>
        <w:spacing w:before="0" w:after="0" w:line="240" w:lineRule="auto"/>
        <w:ind w:left="813" w:right="0" w:hanging="703"/>
        <w:jc w:val="left"/>
        <w:rPr>
          <w:sz w:val="28"/>
        </w:rPr>
      </w:pPr>
      <w:r>
        <w:rPr>
          <w:spacing w:val="-3"/>
          <w:sz w:val="28"/>
        </w:rPr>
        <w:t>分部工程和单位工程验收签证资料；</w:t>
      </w:r>
    </w:p>
    <w:p>
      <w:pPr>
        <w:pStyle w:val="4"/>
        <w:spacing w:before="9"/>
        <w:rPr>
          <w:sz w:val="20"/>
        </w:rPr>
      </w:pPr>
    </w:p>
    <w:p>
      <w:pPr>
        <w:pStyle w:val="10"/>
        <w:numPr>
          <w:ilvl w:val="0"/>
          <w:numId w:val="16"/>
        </w:numPr>
        <w:tabs>
          <w:tab w:val="left" w:pos="814"/>
        </w:tabs>
        <w:spacing w:before="0" w:after="0" w:line="240" w:lineRule="auto"/>
        <w:ind w:left="813" w:right="0" w:hanging="703"/>
        <w:jc w:val="left"/>
        <w:rPr>
          <w:sz w:val="28"/>
        </w:rPr>
      </w:pPr>
      <w:r>
        <w:rPr>
          <w:spacing w:val="-3"/>
          <w:sz w:val="28"/>
        </w:rPr>
        <w:t>重要水土保持单位工程验收照片；</w:t>
      </w:r>
    </w:p>
    <w:p>
      <w:pPr>
        <w:pStyle w:val="4"/>
        <w:spacing w:before="9"/>
        <w:rPr>
          <w:sz w:val="20"/>
        </w:rPr>
      </w:pPr>
    </w:p>
    <w:p>
      <w:pPr>
        <w:pStyle w:val="10"/>
        <w:numPr>
          <w:ilvl w:val="0"/>
          <w:numId w:val="16"/>
        </w:numPr>
        <w:tabs>
          <w:tab w:val="left" w:pos="814"/>
        </w:tabs>
        <w:spacing w:before="0" w:after="0" w:line="417" w:lineRule="auto"/>
        <w:ind w:left="111" w:right="6551" w:firstLine="0"/>
        <w:jc w:val="left"/>
        <w:rPr>
          <w:b/>
          <w:sz w:val="28"/>
        </w:rPr>
      </w:pPr>
      <w:r>
        <w:rPr>
          <w:spacing w:val="-5"/>
          <w:sz w:val="28"/>
        </w:rPr>
        <w:t>其他有关资料。</w:t>
      </w:r>
      <w:bookmarkStart w:id="42" w:name="2、附图"/>
      <w:bookmarkEnd w:id="42"/>
      <w:r>
        <w:rPr>
          <w:b/>
          <w:sz w:val="28"/>
        </w:rPr>
        <w:t>2、附图</w:t>
      </w:r>
    </w:p>
    <w:p>
      <w:pPr>
        <w:pStyle w:val="10"/>
        <w:numPr>
          <w:ilvl w:val="0"/>
          <w:numId w:val="17"/>
        </w:numPr>
        <w:tabs>
          <w:tab w:val="left" w:pos="814"/>
        </w:tabs>
        <w:spacing w:before="0" w:after="0" w:line="358" w:lineRule="exact"/>
        <w:ind w:left="813" w:right="0" w:hanging="703"/>
        <w:jc w:val="left"/>
        <w:rPr>
          <w:sz w:val="28"/>
        </w:rPr>
      </w:pPr>
      <w:r>
        <w:rPr>
          <w:spacing w:val="-3"/>
          <w:sz w:val="28"/>
        </w:rPr>
        <w:t>主体工程总平面竣工图；</w:t>
      </w:r>
    </w:p>
    <w:p>
      <w:pPr>
        <w:pStyle w:val="4"/>
        <w:spacing w:before="9"/>
        <w:rPr>
          <w:sz w:val="20"/>
        </w:rPr>
      </w:pPr>
    </w:p>
    <w:p>
      <w:pPr>
        <w:pStyle w:val="10"/>
        <w:numPr>
          <w:ilvl w:val="0"/>
          <w:numId w:val="17"/>
        </w:numPr>
        <w:tabs>
          <w:tab w:val="left" w:pos="814"/>
        </w:tabs>
        <w:spacing w:before="0" w:after="0" w:line="240" w:lineRule="auto"/>
        <w:ind w:left="813" w:right="0" w:hanging="703"/>
        <w:jc w:val="left"/>
        <w:rPr>
          <w:sz w:val="28"/>
        </w:rPr>
      </w:pPr>
      <w:r>
        <w:rPr>
          <w:spacing w:val="-3"/>
          <w:sz w:val="28"/>
        </w:rPr>
        <w:t>水土保持工程照片集；</w:t>
      </w:r>
    </w:p>
    <w:p>
      <w:pPr>
        <w:pStyle w:val="4"/>
        <w:spacing w:before="9"/>
        <w:rPr>
          <w:sz w:val="20"/>
        </w:rPr>
      </w:pPr>
    </w:p>
    <w:p>
      <w:pPr>
        <w:pStyle w:val="10"/>
        <w:numPr>
          <w:ilvl w:val="0"/>
          <w:numId w:val="17"/>
        </w:numPr>
        <w:tabs>
          <w:tab w:val="left" w:pos="814"/>
        </w:tabs>
        <w:spacing w:before="0" w:after="0" w:line="240" w:lineRule="auto"/>
        <w:ind w:left="813" w:right="0" w:hanging="703"/>
        <w:jc w:val="left"/>
        <w:rPr>
          <w:sz w:val="28"/>
        </w:rPr>
      </w:pPr>
      <w:r>
        <w:rPr>
          <w:spacing w:val="-3"/>
          <w:sz w:val="28"/>
        </w:rPr>
        <w:t>其他相关图件。</w:t>
      </w:r>
    </w:p>
    <w:p>
      <w:pPr>
        <w:spacing w:after="0" w:line="240" w:lineRule="auto"/>
        <w:jc w:val="left"/>
        <w:rPr>
          <w:sz w:val="28"/>
        </w:rPr>
        <w:sectPr>
          <w:pgSz w:w="11910" w:h="16840"/>
          <w:pgMar w:top="1300" w:right="1160" w:bottom="1200" w:left="1420" w:header="878" w:footer="1005" w:gutter="0"/>
          <w:cols w:space="720" w:num="1"/>
        </w:sectPr>
      </w:pPr>
    </w:p>
    <w:p>
      <w:pPr>
        <w:pStyle w:val="4"/>
        <w:spacing w:before="4"/>
        <w:rPr>
          <w:sz w:val="9"/>
        </w:rPr>
      </w:pPr>
    </w:p>
    <w:p>
      <w:pPr>
        <w:pStyle w:val="3"/>
        <w:spacing w:before="61" w:line="240" w:lineRule="auto"/>
        <w:ind w:left="111"/>
      </w:pPr>
      <w:r>
        <w:t>附件 1</w:t>
      </w:r>
    </w:p>
    <w:p>
      <w:pPr>
        <w:pStyle w:val="4"/>
        <w:spacing w:before="9"/>
        <w:rPr>
          <w:b/>
          <w:sz w:val="20"/>
        </w:rPr>
      </w:pPr>
    </w:p>
    <w:p>
      <w:pPr>
        <w:spacing w:before="0"/>
        <w:ind w:left="670" w:right="0" w:firstLine="0"/>
        <w:jc w:val="left"/>
        <w:rPr>
          <w:b/>
          <w:sz w:val="28"/>
        </w:rPr>
      </w:pPr>
      <w:r>
        <w:rPr>
          <w:b/>
          <w:sz w:val="28"/>
        </w:rPr>
        <w:t>本项目水土保持工程建设大事：</w:t>
      </w:r>
    </w:p>
    <w:p>
      <w:pPr>
        <w:pStyle w:val="4"/>
        <w:spacing w:before="9"/>
        <w:rPr>
          <w:b/>
          <w:sz w:val="20"/>
        </w:rPr>
      </w:pPr>
    </w:p>
    <w:p>
      <w:pPr>
        <w:pStyle w:val="4"/>
        <w:spacing w:line="417" w:lineRule="auto"/>
        <w:ind w:left="111" w:right="241" w:firstLine="559"/>
      </w:pPr>
      <w:r>
        <w:rPr>
          <w:spacing w:val="-16"/>
        </w:rPr>
        <w:t>（1）2015</w:t>
      </w:r>
      <w:r>
        <w:rPr>
          <w:spacing w:val="-44"/>
        </w:rPr>
        <w:t xml:space="preserve"> 年 </w:t>
      </w:r>
      <w:r>
        <w:t>7</w:t>
      </w:r>
      <w:r>
        <w:rPr>
          <w:spacing w:val="-14"/>
        </w:rPr>
        <w:t xml:space="preserve"> 月委托深圳市海平峰水务技术工程有限公司编制了《圳</w:t>
      </w:r>
      <w:r>
        <w:rPr>
          <w:spacing w:val="-10"/>
        </w:rPr>
        <w:t>市龙岗区龙城街道龙西社区雨污分流管网工程水土保持方案报告表》。</w:t>
      </w:r>
    </w:p>
    <w:p>
      <w:pPr>
        <w:pStyle w:val="4"/>
        <w:spacing w:line="417" w:lineRule="auto"/>
        <w:ind w:left="111" w:right="241" w:firstLine="559"/>
      </w:pPr>
      <w:r>
        <w:rPr>
          <w:spacing w:val="-1"/>
          <w:w w:val="100"/>
        </w:rPr>
        <w:t>（</w:t>
      </w:r>
      <w:r>
        <w:rPr>
          <w:spacing w:val="-2"/>
          <w:w w:val="100"/>
        </w:rPr>
        <w:t>2</w:t>
      </w:r>
      <w:r>
        <w:rPr>
          <w:spacing w:val="-133"/>
          <w:w w:val="100"/>
        </w:rPr>
        <w:t>）</w:t>
      </w:r>
      <w:r>
        <w:rPr>
          <w:spacing w:val="-3"/>
          <w:w w:val="100"/>
        </w:rPr>
        <w:t>深圳市龙岗区环境保护和水务局</w:t>
      </w:r>
      <w:r>
        <w:rPr>
          <w:spacing w:val="-71"/>
        </w:rPr>
        <w:t xml:space="preserve"> </w:t>
      </w:r>
      <w:r>
        <w:rPr>
          <w:spacing w:val="1"/>
          <w:w w:val="100"/>
        </w:rPr>
        <w:t>2</w:t>
      </w:r>
      <w:r>
        <w:rPr>
          <w:spacing w:val="-2"/>
          <w:w w:val="100"/>
        </w:rPr>
        <w:t>01</w:t>
      </w:r>
      <w:r>
        <w:rPr>
          <w:w w:val="100"/>
        </w:rPr>
        <w:t>5</w:t>
      </w:r>
      <w:r>
        <w:rPr>
          <w:spacing w:val="-72"/>
        </w:rPr>
        <w:t xml:space="preserve"> </w:t>
      </w:r>
      <w:r>
        <w:rPr>
          <w:w w:val="100"/>
        </w:rPr>
        <w:t>年</w:t>
      </w:r>
      <w:r>
        <w:rPr>
          <w:spacing w:val="-71"/>
        </w:rPr>
        <w:t xml:space="preserve"> </w:t>
      </w:r>
      <w:r>
        <w:rPr>
          <w:w w:val="100"/>
        </w:rPr>
        <w:t>7</w:t>
      </w:r>
      <w:r>
        <w:rPr>
          <w:spacing w:val="-70"/>
        </w:rPr>
        <w:t xml:space="preserve"> </w:t>
      </w:r>
      <w:r>
        <w:rPr>
          <w:w w:val="100"/>
        </w:rPr>
        <w:t>月</w:t>
      </w:r>
      <w:r>
        <w:rPr>
          <w:spacing w:val="-73"/>
        </w:rPr>
        <w:t xml:space="preserve"> </w:t>
      </w:r>
      <w:r>
        <w:rPr>
          <w:spacing w:val="1"/>
          <w:w w:val="100"/>
        </w:rPr>
        <w:t>2</w:t>
      </w:r>
      <w:r>
        <w:rPr>
          <w:w w:val="100"/>
        </w:rPr>
        <w:t>3</w:t>
      </w:r>
      <w:r>
        <w:rPr>
          <w:spacing w:val="-72"/>
        </w:rPr>
        <w:t xml:space="preserve"> </w:t>
      </w:r>
      <w:r>
        <w:rPr>
          <w:spacing w:val="-2"/>
          <w:w w:val="100"/>
        </w:rPr>
        <w:t>日以深龙环水保</w:t>
      </w:r>
      <w:r>
        <w:rPr>
          <w:spacing w:val="-2"/>
        </w:rPr>
        <w:t>复【</w:t>
      </w:r>
      <w:r>
        <w:t>2015</w:t>
      </w:r>
      <w:r>
        <w:rPr>
          <w:spacing w:val="-3"/>
        </w:rPr>
        <w:t>】</w:t>
      </w:r>
      <w:r>
        <w:t>25</w:t>
      </w:r>
      <w:r>
        <w:rPr>
          <w:spacing w:val="-10"/>
        </w:rPr>
        <w:t xml:space="preserve"> 号文件对本项目水土保持方案进行了批复。</w:t>
      </w:r>
    </w:p>
    <w:p>
      <w:pPr>
        <w:pStyle w:val="4"/>
        <w:spacing w:line="358" w:lineRule="exact"/>
        <w:ind w:left="670"/>
      </w:pPr>
      <w:r>
        <w:t>（3）2016 年 9 月本项目进场开始进行施工。</w:t>
      </w:r>
    </w:p>
    <w:p>
      <w:pPr>
        <w:pStyle w:val="4"/>
        <w:spacing w:before="9"/>
        <w:rPr>
          <w:sz w:val="20"/>
        </w:rPr>
      </w:pPr>
    </w:p>
    <w:p>
      <w:pPr>
        <w:pStyle w:val="4"/>
        <w:spacing w:line="417" w:lineRule="auto"/>
        <w:ind w:left="111" w:right="241" w:firstLine="556"/>
      </w:pPr>
      <w:r>
        <w:t>（4）2016</w:t>
      </w:r>
      <w:r>
        <w:rPr>
          <w:spacing w:val="-47"/>
        </w:rPr>
        <w:t xml:space="preserve"> 年 </w:t>
      </w:r>
      <w:r>
        <w:t>9</w:t>
      </w:r>
      <w:r>
        <w:rPr>
          <w:spacing w:val="-35"/>
        </w:rPr>
        <w:t xml:space="preserve"> 月</w:t>
      </w:r>
      <w:r>
        <w:rPr>
          <w:rFonts w:ascii="Times New Roman" w:eastAsia="Times New Roman"/>
        </w:rPr>
        <w:t>~</w:t>
      </w:r>
      <w:r>
        <w:t>2016</w:t>
      </w:r>
      <w:r>
        <w:rPr>
          <w:spacing w:val="-47"/>
        </w:rPr>
        <w:t xml:space="preserve"> 年 </w:t>
      </w:r>
      <w:r>
        <w:t>12</w:t>
      </w:r>
      <w:r>
        <w:rPr>
          <w:spacing w:val="-9"/>
        </w:rPr>
        <w:t xml:space="preserve"> 月主要进行施工准备及地表破除施工， 2017</w:t>
      </w:r>
      <w:r>
        <w:rPr>
          <w:spacing w:val="-47"/>
        </w:rPr>
        <w:t xml:space="preserve"> 年 </w:t>
      </w:r>
      <w:r>
        <w:t>1</w:t>
      </w:r>
      <w:r>
        <w:rPr>
          <w:spacing w:val="-35"/>
        </w:rPr>
        <w:t xml:space="preserve"> 月</w:t>
      </w:r>
      <w:r>
        <w:rPr>
          <w:rFonts w:ascii="Times New Roman" w:eastAsia="Times New Roman"/>
        </w:rPr>
        <w:t>~</w:t>
      </w:r>
      <w:r>
        <w:t>2019</w:t>
      </w:r>
      <w:r>
        <w:rPr>
          <w:spacing w:val="-47"/>
        </w:rPr>
        <w:t xml:space="preserve"> 年 </w:t>
      </w:r>
      <w:r>
        <w:t>5</w:t>
      </w:r>
      <w:r>
        <w:rPr>
          <w:spacing w:val="-10"/>
        </w:rPr>
        <w:t xml:space="preserve"> 月主要进行管槽开挖支护及管道敷设施工，</w:t>
      </w:r>
      <w:r>
        <w:rPr>
          <w:spacing w:val="-16"/>
        </w:rPr>
        <w:t>2019</w:t>
      </w:r>
      <w:r>
        <w:rPr>
          <w:spacing w:val="-34"/>
        </w:rPr>
        <w:t xml:space="preserve"> 年</w:t>
      </w:r>
    </w:p>
    <w:p>
      <w:pPr>
        <w:pStyle w:val="4"/>
        <w:spacing w:line="358" w:lineRule="exact"/>
        <w:ind w:left="111"/>
      </w:pPr>
      <w:r>
        <w:t>5 月</w:t>
      </w:r>
      <w:r>
        <w:rPr>
          <w:rFonts w:ascii="Times New Roman" w:eastAsia="Times New Roman"/>
        </w:rPr>
        <w:t>~</w:t>
      </w:r>
      <w:r>
        <w:t>2019 年 10 月主要进行道路恢复施工。</w:t>
      </w:r>
    </w:p>
    <w:p>
      <w:pPr>
        <w:spacing w:after="0" w:line="358" w:lineRule="exact"/>
        <w:sectPr>
          <w:pgSz w:w="11910" w:h="16840"/>
          <w:pgMar w:top="1300" w:right="1160" w:bottom="1200" w:left="1420" w:header="878" w:footer="1005" w:gutter="0"/>
          <w:cols w:space="720" w:num="1"/>
        </w:sectPr>
      </w:pPr>
    </w:p>
    <w:p>
      <w:pPr>
        <w:spacing w:before="51"/>
        <w:ind w:left="111" w:right="0" w:firstLine="0"/>
        <w:jc w:val="left"/>
        <w:rPr>
          <w:b/>
          <w:sz w:val="28"/>
        </w:rPr>
      </w:pPr>
      <w:r>
        <w:rPr>
          <w:b/>
          <w:spacing w:val="-25"/>
          <w:sz w:val="28"/>
        </w:rPr>
        <w:t xml:space="preserve">附图 </w:t>
      </w:r>
      <w:r>
        <w:rPr>
          <w:b/>
          <w:sz w:val="28"/>
        </w:rPr>
        <w:t>3</w:t>
      </w:r>
    </w:p>
    <w:p>
      <w:pPr>
        <w:pStyle w:val="4"/>
        <w:spacing w:before="2"/>
        <w:rPr>
          <w:b/>
          <w:sz w:val="32"/>
        </w:rPr>
      </w:pPr>
      <w:r>
        <w:br w:type="column"/>
      </w:r>
    </w:p>
    <w:p>
      <w:pPr>
        <w:spacing w:before="0"/>
        <w:ind w:left="111" w:right="0" w:firstLine="0"/>
        <w:jc w:val="left"/>
        <w:rPr>
          <w:rFonts w:hint="eastAsia" w:ascii="黑体" w:eastAsia="黑体"/>
          <w:b/>
          <w:sz w:val="32"/>
        </w:rPr>
      </w:pPr>
      <w:r>
        <w:rPr>
          <w:rFonts w:hint="eastAsia" w:ascii="黑体" w:eastAsia="黑体"/>
          <w:b/>
          <w:sz w:val="32"/>
        </w:rPr>
        <w:t>水土保持工程照片集</w:t>
      </w:r>
    </w:p>
    <w:p>
      <w:pPr>
        <w:spacing w:after="0"/>
        <w:jc w:val="left"/>
        <w:rPr>
          <w:rFonts w:hint="eastAsia" w:ascii="黑体" w:eastAsia="黑体"/>
          <w:sz w:val="32"/>
        </w:rPr>
        <w:sectPr>
          <w:pgSz w:w="11910" w:h="16840"/>
          <w:pgMar w:top="1300" w:right="1160" w:bottom="1200" w:left="1420" w:header="878" w:footer="1005" w:gutter="0"/>
          <w:cols w:equalWidth="0" w:num="2">
            <w:col w:w="923" w:space="2117"/>
            <w:col w:w="6290"/>
          </w:cols>
        </w:sectPr>
      </w:pPr>
    </w:p>
    <w:p>
      <w:pPr>
        <w:pStyle w:val="4"/>
        <w:spacing w:before="5" w:after="1"/>
        <w:rPr>
          <w:rFonts w:ascii="黑体"/>
          <w:b/>
          <w:sz w:val="11"/>
        </w:rPr>
      </w:pPr>
    </w:p>
    <w:p>
      <w:pPr>
        <w:tabs>
          <w:tab w:val="left" w:pos="4959"/>
        </w:tabs>
        <w:spacing w:line="240" w:lineRule="auto"/>
        <w:ind w:left="514" w:right="0" w:firstLine="0"/>
        <w:rPr>
          <w:rFonts w:ascii="黑体"/>
          <w:sz w:val="20"/>
        </w:rPr>
      </w:pPr>
      <w:r>
        <w:rPr>
          <w:rFonts w:ascii="黑体"/>
          <w:position w:val="3"/>
          <w:sz w:val="20"/>
        </w:rPr>
        <w:drawing>
          <wp:inline distT="0" distB="0" distL="0" distR="0">
            <wp:extent cx="2379345" cy="1755775"/>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13" cstate="print"/>
                    <a:stretch>
                      <a:fillRect/>
                    </a:stretch>
                  </pic:blipFill>
                  <pic:spPr>
                    <a:xfrm>
                      <a:off x="0" y="0"/>
                      <a:ext cx="2379556" cy="1756409"/>
                    </a:xfrm>
                    <a:prstGeom prst="rect">
                      <a:avLst/>
                    </a:prstGeom>
                  </pic:spPr>
                </pic:pic>
              </a:graphicData>
            </a:graphic>
          </wp:inline>
        </w:drawing>
      </w:r>
      <w:r>
        <w:rPr>
          <w:rFonts w:ascii="黑体"/>
          <w:position w:val="3"/>
          <w:sz w:val="20"/>
        </w:rPr>
        <w:tab/>
      </w:r>
      <w:r>
        <w:rPr>
          <w:rFonts w:ascii="黑体"/>
          <w:sz w:val="20"/>
        </w:rPr>
        <w:drawing>
          <wp:inline distT="0" distB="0" distL="0" distR="0">
            <wp:extent cx="2316480" cy="1774825"/>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14" cstate="print"/>
                    <a:stretch>
                      <a:fillRect/>
                    </a:stretch>
                  </pic:blipFill>
                  <pic:spPr>
                    <a:xfrm>
                      <a:off x="0" y="0"/>
                      <a:ext cx="2316667" cy="1775459"/>
                    </a:xfrm>
                    <a:prstGeom prst="rect">
                      <a:avLst/>
                    </a:prstGeom>
                  </pic:spPr>
                </pic:pic>
              </a:graphicData>
            </a:graphic>
          </wp:inline>
        </w:drawing>
      </w:r>
    </w:p>
    <w:p>
      <w:pPr>
        <w:tabs>
          <w:tab w:val="left" w:pos="4372"/>
        </w:tabs>
        <w:spacing w:before="109"/>
        <w:ind w:left="0" w:right="80" w:firstLine="0"/>
        <w:jc w:val="center"/>
        <w:rPr>
          <w:rFonts w:hint="eastAsia" w:ascii="黑体" w:eastAsia="黑体"/>
          <w:sz w:val="24"/>
        </w:rPr>
      </w:pPr>
      <w:r>
        <w:drawing>
          <wp:anchor distT="0" distB="0" distL="0" distR="0" simplePos="0" relativeHeight="251659264" behindDoc="0" locked="0" layoutInCell="1" allowOverlap="1">
            <wp:simplePos x="0" y="0"/>
            <wp:positionH relativeFrom="page">
              <wp:posOffset>1232535</wp:posOffset>
            </wp:positionH>
            <wp:positionV relativeFrom="paragraph">
              <wp:posOffset>297180</wp:posOffset>
            </wp:positionV>
            <wp:extent cx="2401570" cy="1779270"/>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5" cstate="print"/>
                    <a:stretch>
                      <a:fillRect/>
                    </a:stretch>
                  </pic:blipFill>
                  <pic:spPr>
                    <a:xfrm>
                      <a:off x="0" y="0"/>
                      <a:ext cx="2401487" cy="1779270"/>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4050665</wp:posOffset>
            </wp:positionH>
            <wp:positionV relativeFrom="paragraph">
              <wp:posOffset>297180</wp:posOffset>
            </wp:positionV>
            <wp:extent cx="2401570" cy="1838325"/>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16" cstate="print"/>
                    <a:stretch>
                      <a:fillRect/>
                    </a:stretch>
                  </pic:blipFill>
                  <pic:spPr>
                    <a:xfrm>
                      <a:off x="0" y="0"/>
                      <a:ext cx="2401683" cy="1838229"/>
                    </a:xfrm>
                    <a:prstGeom prst="rect">
                      <a:avLst/>
                    </a:prstGeom>
                  </pic:spPr>
                </pic:pic>
              </a:graphicData>
            </a:graphic>
          </wp:anchor>
        </w:drawing>
      </w:r>
      <w:r>
        <w:rPr>
          <w:rFonts w:hint="eastAsia" w:ascii="黑体" w:eastAsia="黑体"/>
          <w:sz w:val="24"/>
        </w:rPr>
        <w:t>施工期临时围挡防护</w:t>
      </w:r>
      <w:r>
        <w:rPr>
          <w:rFonts w:hint="eastAsia" w:ascii="黑体" w:eastAsia="黑体"/>
          <w:spacing w:val="-60"/>
          <w:sz w:val="24"/>
        </w:rPr>
        <w:t xml:space="preserve"> </w:t>
      </w:r>
      <w:r>
        <w:rPr>
          <w:rFonts w:hint="eastAsia" w:ascii="黑体" w:eastAsia="黑体"/>
          <w:sz w:val="24"/>
        </w:rPr>
        <w:t>1</w:t>
      </w:r>
      <w:r>
        <w:rPr>
          <w:rFonts w:hint="eastAsia" w:ascii="黑体" w:eastAsia="黑体"/>
          <w:sz w:val="24"/>
        </w:rPr>
        <w:tab/>
      </w:r>
      <w:r>
        <w:rPr>
          <w:rFonts w:hint="eastAsia" w:ascii="黑体" w:eastAsia="黑体"/>
          <w:sz w:val="24"/>
        </w:rPr>
        <w:t>施工期临时围挡防护</w:t>
      </w:r>
      <w:r>
        <w:rPr>
          <w:rFonts w:hint="eastAsia" w:ascii="黑体" w:eastAsia="黑体"/>
          <w:spacing w:val="-61"/>
          <w:sz w:val="24"/>
        </w:rPr>
        <w:t xml:space="preserve"> </w:t>
      </w:r>
      <w:r>
        <w:rPr>
          <w:rFonts w:hint="eastAsia" w:ascii="黑体" w:eastAsia="黑体"/>
          <w:sz w:val="24"/>
        </w:rPr>
        <w:t>2</w:t>
      </w:r>
    </w:p>
    <w:p>
      <w:pPr>
        <w:tabs>
          <w:tab w:val="left" w:pos="4372"/>
        </w:tabs>
        <w:spacing w:before="0" w:after="23"/>
        <w:ind w:left="0" w:right="80" w:firstLine="0"/>
        <w:jc w:val="center"/>
        <w:rPr>
          <w:rFonts w:hint="eastAsia" w:ascii="黑体" w:eastAsia="黑体"/>
          <w:sz w:val="24"/>
        </w:rPr>
      </w:pPr>
      <w:r>
        <w:rPr>
          <w:rFonts w:hint="eastAsia" w:ascii="黑体" w:eastAsia="黑体"/>
          <w:sz w:val="24"/>
        </w:rPr>
        <w:t>施工期临时围挡防护</w:t>
      </w:r>
      <w:r>
        <w:rPr>
          <w:rFonts w:hint="eastAsia" w:ascii="黑体" w:eastAsia="黑体"/>
          <w:spacing w:val="-60"/>
          <w:sz w:val="24"/>
        </w:rPr>
        <w:t xml:space="preserve"> </w:t>
      </w:r>
      <w:r>
        <w:rPr>
          <w:rFonts w:hint="eastAsia" w:ascii="黑体" w:eastAsia="黑体"/>
          <w:sz w:val="24"/>
        </w:rPr>
        <w:t>3</w:t>
      </w:r>
      <w:r>
        <w:rPr>
          <w:rFonts w:hint="eastAsia" w:ascii="黑体" w:eastAsia="黑体"/>
          <w:sz w:val="24"/>
        </w:rPr>
        <w:tab/>
      </w:r>
      <w:r>
        <w:rPr>
          <w:rFonts w:hint="eastAsia" w:ascii="黑体" w:eastAsia="黑体"/>
          <w:sz w:val="24"/>
        </w:rPr>
        <w:t>施工期临时围挡防护</w:t>
      </w:r>
      <w:r>
        <w:rPr>
          <w:rFonts w:hint="eastAsia" w:ascii="黑体" w:eastAsia="黑体"/>
          <w:spacing w:val="-61"/>
          <w:sz w:val="24"/>
        </w:rPr>
        <w:t xml:space="preserve"> </w:t>
      </w:r>
      <w:r>
        <w:rPr>
          <w:rFonts w:hint="eastAsia" w:ascii="黑体" w:eastAsia="黑体"/>
          <w:sz w:val="24"/>
        </w:rPr>
        <w:t>4</w:t>
      </w:r>
    </w:p>
    <w:p>
      <w:pPr>
        <w:tabs>
          <w:tab w:val="left" w:pos="4935"/>
        </w:tabs>
        <w:spacing w:line="240" w:lineRule="auto"/>
        <w:ind w:left="543" w:right="0" w:firstLine="0"/>
        <w:rPr>
          <w:rFonts w:ascii="黑体"/>
          <w:sz w:val="20"/>
        </w:rPr>
      </w:pPr>
      <w:r>
        <w:rPr>
          <w:rFonts w:ascii="黑体"/>
          <w:position w:val="3"/>
          <w:sz w:val="20"/>
        </w:rPr>
        <w:drawing>
          <wp:inline distT="0" distB="0" distL="0" distR="0">
            <wp:extent cx="2400300" cy="1800225"/>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a:picLocks noChangeAspect="1"/>
                    </pic:cNvPicPr>
                  </pic:nvPicPr>
                  <pic:blipFill>
                    <a:blip r:embed="rId17" cstate="print"/>
                    <a:stretch>
                      <a:fillRect/>
                    </a:stretch>
                  </pic:blipFill>
                  <pic:spPr>
                    <a:xfrm>
                      <a:off x="0" y="0"/>
                      <a:ext cx="2400808" cy="1800225"/>
                    </a:xfrm>
                    <a:prstGeom prst="rect">
                      <a:avLst/>
                    </a:prstGeom>
                  </pic:spPr>
                </pic:pic>
              </a:graphicData>
            </a:graphic>
          </wp:inline>
        </w:drawing>
      </w:r>
      <w:r>
        <w:rPr>
          <w:rFonts w:ascii="黑体"/>
          <w:position w:val="3"/>
          <w:sz w:val="20"/>
        </w:rPr>
        <w:tab/>
      </w:r>
      <w:r>
        <w:rPr>
          <w:rFonts w:ascii="黑体"/>
          <w:sz w:val="20"/>
        </w:rPr>
        <w:drawing>
          <wp:inline distT="0" distB="0" distL="0" distR="0">
            <wp:extent cx="2400300" cy="1816100"/>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pic:cNvPicPr>
                      <a:picLocks noChangeAspect="1"/>
                    </pic:cNvPicPr>
                  </pic:nvPicPr>
                  <pic:blipFill>
                    <a:blip r:embed="rId18" cstate="print"/>
                    <a:stretch>
                      <a:fillRect/>
                    </a:stretch>
                  </pic:blipFill>
                  <pic:spPr>
                    <a:xfrm>
                      <a:off x="0" y="0"/>
                      <a:ext cx="2400618" cy="1816227"/>
                    </a:xfrm>
                    <a:prstGeom prst="rect">
                      <a:avLst/>
                    </a:prstGeom>
                  </pic:spPr>
                </pic:pic>
              </a:graphicData>
            </a:graphic>
          </wp:inline>
        </w:drawing>
      </w:r>
    </w:p>
    <w:p>
      <w:pPr>
        <w:tabs>
          <w:tab w:val="left" w:pos="4372"/>
        </w:tabs>
        <w:spacing w:before="0"/>
        <w:ind w:left="0" w:right="80" w:firstLine="0"/>
        <w:jc w:val="center"/>
        <w:rPr>
          <w:rFonts w:hint="eastAsia" w:ascii="黑体" w:eastAsia="黑体"/>
          <w:sz w:val="24"/>
        </w:rPr>
      </w:pPr>
      <w:r>
        <w:rPr>
          <w:rFonts w:hint="eastAsia" w:ascii="黑体" w:eastAsia="黑体"/>
          <w:sz w:val="24"/>
        </w:rPr>
        <w:t>施工期临时围挡防护</w:t>
      </w:r>
      <w:r>
        <w:rPr>
          <w:rFonts w:hint="eastAsia" w:ascii="黑体" w:eastAsia="黑体"/>
          <w:spacing w:val="-60"/>
          <w:sz w:val="24"/>
        </w:rPr>
        <w:t xml:space="preserve"> </w:t>
      </w:r>
      <w:r>
        <w:rPr>
          <w:rFonts w:hint="eastAsia" w:ascii="黑体" w:eastAsia="黑体"/>
          <w:sz w:val="24"/>
        </w:rPr>
        <w:t>5</w:t>
      </w:r>
      <w:r>
        <w:rPr>
          <w:rFonts w:hint="eastAsia" w:ascii="黑体" w:eastAsia="黑体"/>
          <w:sz w:val="24"/>
        </w:rPr>
        <w:tab/>
      </w:r>
      <w:r>
        <w:rPr>
          <w:rFonts w:hint="eastAsia" w:ascii="黑体" w:eastAsia="黑体"/>
          <w:sz w:val="24"/>
        </w:rPr>
        <w:t>施工期临时围挡防护</w:t>
      </w:r>
      <w:r>
        <w:rPr>
          <w:rFonts w:hint="eastAsia" w:ascii="黑体" w:eastAsia="黑体"/>
          <w:spacing w:val="-61"/>
          <w:sz w:val="24"/>
        </w:rPr>
        <w:t xml:space="preserve"> </w:t>
      </w:r>
      <w:r>
        <w:rPr>
          <w:rFonts w:hint="eastAsia" w:ascii="黑体" w:eastAsia="黑体"/>
          <w:sz w:val="24"/>
        </w:rPr>
        <w:t>6</w:t>
      </w:r>
    </w:p>
    <w:p>
      <w:pPr>
        <w:pStyle w:val="4"/>
        <w:spacing w:before="3"/>
        <w:rPr>
          <w:rFonts w:ascii="黑体"/>
          <w:sz w:val="8"/>
        </w:rPr>
      </w:pPr>
      <w:r>
        <w:drawing>
          <wp:anchor distT="0" distB="0" distL="0" distR="0" simplePos="0" relativeHeight="251659264" behindDoc="0" locked="0" layoutInCell="1" allowOverlap="1">
            <wp:simplePos x="0" y="0"/>
            <wp:positionH relativeFrom="page">
              <wp:posOffset>1405255</wp:posOffset>
            </wp:positionH>
            <wp:positionV relativeFrom="paragraph">
              <wp:posOffset>92075</wp:posOffset>
            </wp:positionV>
            <wp:extent cx="2084070" cy="1798320"/>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pic:cNvPicPr>
                      <a:picLocks noChangeAspect="1"/>
                    </pic:cNvPicPr>
                  </pic:nvPicPr>
                  <pic:blipFill>
                    <a:blip r:embed="rId19" cstate="print"/>
                    <a:stretch>
                      <a:fillRect/>
                    </a:stretch>
                  </pic:blipFill>
                  <pic:spPr>
                    <a:xfrm>
                      <a:off x="0" y="0"/>
                      <a:ext cx="2084349" cy="1798224"/>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4074160</wp:posOffset>
            </wp:positionH>
            <wp:positionV relativeFrom="paragraph">
              <wp:posOffset>92075</wp:posOffset>
            </wp:positionV>
            <wp:extent cx="2339340" cy="1828165"/>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pic:cNvPicPr>
                      <a:picLocks noChangeAspect="1"/>
                    </pic:cNvPicPr>
                  </pic:nvPicPr>
                  <pic:blipFill>
                    <a:blip r:embed="rId20" cstate="print"/>
                    <a:stretch>
                      <a:fillRect/>
                    </a:stretch>
                  </pic:blipFill>
                  <pic:spPr>
                    <a:xfrm>
                      <a:off x="0" y="0"/>
                      <a:ext cx="2339466" cy="1828228"/>
                    </a:xfrm>
                    <a:prstGeom prst="rect">
                      <a:avLst/>
                    </a:prstGeom>
                  </pic:spPr>
                </pic:pic>
              </a:graphicData>
            </a:graphic>
          </wp:anchor>
        </w:drawing>
      </w:r>
    </w:p>
    <w:p>
      <w:pPr>
        <w:tabs>
          <w:tab w:val="left" w:pos="4372"/>
        </w:tabs>
        <w:spacing w:before="71"/>
        <w:ind w:left="0" w:right="80" w:firstLine="0"/>
        <w:jc w:val="center"/>
        <w:rPr>
          <w:rFonts w:hint="eastAsia" w:ascii="黑体" w:eastAsia="黑体"/>
          <w:sz w:val="24"/>
        </w:rPr>
      </w:pPr>
      <w:r>
        <w:rPr>
          <w:rFonts w:hint="eastAsia" w:ascii="黑体" w:eastAsia="黑体"/>
          <w:sz w:val="24"/>
        </w:rPr>
        <w:t>施工期开挖边坡防护</w:t>
      </w:r>
      <w:r>
        <w:rPr>
          <w:rFonts w:hint="eastAsia" w:ascii="黑体" w:eastAsia="黑体"/>
          <w:spacing w:val="-60"/>
          <w:sz w:val="24"/>
        </w:rPr>
        <w:t xml:space="preserve"> </w:t>
      </w:r>
      <w:r>
        <w:rPr>
          <w:rFonts w:hint="eastAsia" w:ascii="黑体" w:eastAsia="黑体"/>
          <w:sz w:val="24"/>
        </w:rPr>
        <w:t>1</w:t>
      </w:r>
      <w:r>
        <w:rPr>
          <w:rFonts w:hint="eastAsia" w:ascii="黑体" w:eastAsia="黑体"/>
          <w:sz w:val="24"/>
        </w:rPr>
        <w:tab/>
      </w:r>
      <w:r>
        <w:rPr>
          <w:rFonts w:hint="eastAsia" w:ascii="黑体" w:eastAsia="黑体"/>
          <w:sz w:val="24"/>
        </w:rPr>
        <w:t>施工期开挖边坡防护</w:t>
      </w:r>
      <w:r>
        <w:rPr>
          <w:rFonts w:hint="eastAsia" w:ascii="黑体" w:eastAsia="黑体"/>
          <w:spacing w:val="-61"/>
          <w:sz w:val="24"/>
        </w:rPr>
        <w:t xml:space="preserve"> </w:t>
      </w:r>
      <w:r>
        <w:rPr>
          <w:rFonts w:hint="eastAsia" w:ascii="黑体" w:eastAsia="黑体"/>
          <w:sz w:val="24"/>
        </w:rPr>
        <w:t>2</w:t>
      </w:r>
    </w:p>
    <w:p>
      <w:pPr>
        <w:spacing w:after="0"/>
        <w:jc w:val="center"/>
        <w:rPr>
          <w:rFonts w:hint="eastAsia" w:ascii="黑体" w:eastAsia="黑体"/>
          <w:sz w:val="24"/>
        </w:rPr>
        <w:sectPr>
          <w:type w:val="continuous"/>
          <w:pgSz w:w="11910" w:h="16840"/>
          <w:pgMar w:top="1580" w:right="1160" w:bottom="280" w:left="1420" w:header="720" w:footer="720" w:gutter="0"/>
          <w:cols w:space="720" w:num="1"/>
        </w:sectPr>
      </w:pPr>
    </w:p>
    <w:p>
      <w:pPr>
        <w:pStyle w:val="4"/>
        <w:spacing w:before="9"/>
        <w:rPr>
          <w:rFonts w:ascii="黑体"/>
          <w:sz w:val="14"/>
        </w:rPr>
      </w:pPr>
    </w:p>
    <w:p>
      <w:pPr>
        <w:tabs>
          <w:tab w:val="left" w:pos="4944"/>
        </w:tabs>
        <w:spacing w:line="240" w:lineRule="auto"/>
        <w:ind w:left="550" w:right="0" w:firstLine="0"/>
        <w:rPr>
          <w:rFonts w:ascii="黑体"/>
          <w:sz w:val="20"/>
        </w:rPr>
      </w:pPr>
      <w:r>
        <w:rPr>
          <w:rFonts w:ascii="黑体"/>
          <w:sz w:val="20"/>
        </w:rPr>
        <w:drawing>
          <wp:inline distT="0" distB="0" distL="0" distR="0">
            <wp:extent cx="2440940" cy="1835785"/>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jpeg"/>
                    <pic:cNvPicPr>
                      <a:picLocks noChangeAspect="1"/>
                    </pic:cNvPicPr>
                  </pic:nvPicPr>
                  <pic:blipFill>
                    <a:blip r:embed="rId21" cstate="print"/>
                    <a:stretch>
                      <a:fillRect/>
                    </a:stretch>
                  </pic:blipFill>
                  <pic:spPr>
                    <a:xfrm>
                      <a:off x="0" y="0"/>
                      <a:ext cx="2441050" cy="1836229"/>
                    </a:xfrm>
                    <a:prstGeom prst="rect">
                      <a:avLst/>
                    </a:prstGeom>
                  </pic:spPr>
                </pic:pic>
              </a:graphicData>
            </a:graphic>
          </wp:inline>
        </w:drawing>
      </w:r>
      <w:r>
        <w:rPr>
          <w:rFonts w:ascii="黑体"/>
          <w:sz w:val="20"/>
        </w:rPr>
        <w:tab/>
      </w:r>
      <w:r>
        <w:rPr>
          <w:rFonts w:ascii="黑体"/>
          <w:position w:val="2"/>
          <w:sz w:val="20"/>
        </w:rPr>
        <w:drawing>
          <wp:inline distT="0" distB="0" distL="0" distR="0">
            <wp:extent cx="2397125" cy="1821815"/>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jpeg"/>
                    <pic:cNvPicPr>
                      <a:picLocks noChangeAspect="1"/>
                    </pic:cNvPicPr>
                  </pic:nvPicPr>
                  <pic:blipFill>
                    <a:blip r:embed="rId22" cstate="print"/>
                    <a:stretch>
                      <a:fillRect/>
                    </a:stretch>
                  </pic:blipFill>
                  <pic:spPr>
                    <a:xfrm>
                      <a:off x="0" y="0"/>
                      <a:ext cx="2397749" cy="1822227"/>
                    </a:xfrm>
                    <a:prstGeom prst="rect">
                      <a:avLst/>
                    </a:prstGeom>
                  </pic:spPr>
                </pic:pic>
              </a:graphicData>
            </a:graphic>
          </wp:inline>
        </w:drawing>
      </w:r>
    </w:p>
    <w:p>
      <w:pPr>
        <w:tabs>
          <w:tab w:val="left" w:pos="5638"/>
        </w:tabs>
        <w:spacing w:before="89"/>
        <w:ind w:left="1265" w:right="0" w:firstLine="0"/>
        <w:jc w:val="left"/>
        <w:rPr>
          <w:rFonts w:hint="eastAsia" w:ascii="黑体" w:eastAsia="黑体"/>
          <w:sz w:val="24"/>
        </w:rPr>
      </w:pPr>
      <w:r>
        <w:rPr>
          <w:rFonts w:hint="eastAsia" w:ascii="黑体" w:eastAsia="黑体"/>
          <w:sz w:val="24"/>
        </w:rPr>
        <w:t>施工期开挖边坡防护</w:t>
      </w:r>
      <w:r>
        <w:rPr>
          <w:rFonts w:hint="eastAsia" w:ascii="黑体" w:eastAsia="黑体"/>
          <w:spacing w:val="-60"/>
          <w:sz w:val="24"/>
        </w:rPr>
        <w:t xml:space="preserve"> </w:t>
      </w:r>
      <w:r>
        <w:rPr>
          <w:rFonts w:hint="eastAsia" w:ascii="黑体" w:eastAsia="黑体"/>
          <w:sz w:val="24"/>
        </w:rPr>
        <w:t>3</w:t>
      </w:r>
      <w:r>
        <w:rPr>
          <w:rFonts w:hint="eastAsia" w:ascii="黑体" w:eastAsia="黑体"/>
          <w:sz w:val="24"/>
        </w:rPr>
        <w:tab/>
      </w:r>
      <w:r>
        <w:rPr>
          <w:rFonts w:hint="eastAsia" w:ascii="黑体" w:eastAsia="黑体"/>
          <w:sz w:val="24"/>
        </w:rPr>
        <w:t>施工期开挖边坡防护</w:t>
      </w:r>
      <w:r>
        <w:rPr>
          <w:rFonts w:hint="eastAsia" w:ascii="黑体" w:eastAsia="黑体"/>
          <w:spacing w:val="-61"/>
          <w:sz w:val="24"/>
        </w:rPr>
        <w:t xml:space="preserve"> </w:t>
      </w:r>
      <w:r>
        <w:rPr>
          <w:rFonts w:hint="eastAsia" w:ascii="黑体" w:eastAsia="黑体"/>
          <w:sz w:val="24"/>
        </w:rPr>
        <w:t>4</w:t>
      </w:r>
    </w:p>
    <w:p>
      <w:pPr>
        <w:pStyle w:val="4"/>
        <w:spacing w:before="2"/>
        <w:rPr>
          <w:rFonts w:ascii="黑体"/>
          <w:sz w:val="8"/>
        </w:rPr>
      </w:pPr>
      <w:r>
        <w:drawing>
          <wp:anchor distT="0" distB="0" distL="0" distR="0" simplePos="0" relativeHeight="251659264" behindDoc="0" locked="0" layoutInCell="1" allowOverlap="1">
            <wp:simplePos x="0" y="0"/>
            <wp:positionH relativeFrom="page">
              <wp:posOffset>1246505</wp:posOffset>
            </wp:positionH>
            <wp:positionV relativeFrom="paragraph">
              <wp:posOffset>90805</wp:posOffset>
            </wp:positionV>
            <wp:extent cx="2438400" cy="1826260"/>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jpeg"/>
                    <pic:cNvPicPr>
                      <a:picLocks noChangeAspect="1"/>
                    </pic:cNvPicPr>
                  </pic:nvPicPr>
                  <pic:blipFill>
                    <a:blip r:embed="rId23" cstate="print"/>
                    <a:stretch>
                      <a:fillRect/>
                    </a:stretch>
                  </pic:blipFill>
                  <pic:spPr>
                    <a:xfrm>
                      <a:off x="0" y="0"/>
                      <a:ext cx="2438579" cy="1826228"/>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4047490</wp:posOffset>
            </wp:positionH>
            <wp:positionV relativeFrom="paragraph">
              <wp:posOffset>90805</wp:posOffset>
            </wp:positionV>
            <wp:extent cx="2402205" cy="1836420"/>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4.jpeg"/>
                    <pic:cNvPicPr>
                      <a:picLocks noChangeAspect="1"/>
                    </pic:cNvPicPr>
                  </pic:nvPicPr>
                  <pic:blipFill>
                    <a:blip r:embed="rId24" cstate="print"/>
                    <a:stretch>
                      <a:fillRect/>
                    </a:stretch>
                  </pic:blipFill>
                  <pic:spPr>
                    <a:xfrm>
                      <a:off x="0" y="0"/>
                      <a:ext cx="2402179" cy="1836229"/>
                    </a:xfrm>
                    <a:prstGeom prst="rect">
                      <a:avLst/>
                    </a:prstGeom>
                  </pic:spPr>
                </pic:pic>
              </a:graphicData>
            </a:graphic>
          </wp:anchor>
        </w:drawing>
      </w:r>
    </w:p>
    <w:p>
      <w:pPr>
        <w:tabs>
          <w:tab w:val="left" w:pos="5369"/>
        </w:tabs>
        <w:spacing w:before="61"/>
        <w:ind w:left="1265" w:right="0" w:firstLine="0"/>
        <w:jc w:val="left"/>
        <w:rPr>
          <w:rFonts w:hint="eastAsia" w:ascii="黑体" w:eastAsia="黑体"/>
          <w:sz w:val="24"/>
        </w:rPr>
      </w:pPr>
      <w:r>
        <w:rPr>
          <w:rFonts w:hint="eastAsia" w:ascii="黑体" w:eastAsia="黑体"/>
          <w:sz w:val="24"/>
        </w:rPr>
        <w:t>施工期开挖边坡防护</w:t>
      </w:r>
      <w:r>
        <w:rPr>
          <w:rFonts w:hint="eastAsia" w:ascii="黑体" w:eastAsia="黑体"/>
          <w:spacing w:val="-60"/>
          <w:sz w:val="24"/>
        </w:rPr>
        <w:t xml:space="preserve"> </w:t>
      </w:r>
      <w:r>
        <w:rPr>
          <w:rFonts w:hint="eastAsia" w:ascii="黑体" w:eastAsia="黑体"/>
          <w:sz w:val="24"/>
        </w:rPr>
        <w:t>5</w:t>
      </w:r>
      <w:r>
        <w:rPr>
          <w:rFonts w:hint="eastAsia" w:ascii="黑体" w:eastAsia="黑体"/>
          <w:sz w:val="24"/>
        </w:rPr>
        <w:tab/>
      </w:r>
      <w:r>
        <w:rPr>
          <w:rFonts w:hint="eastAsia" w:ascii="黑体" w:eastAsia="黑体"/>
          <w:sz w:val="24"/>
        </w:rPr>
        <w:t>施工期部分裸露面临时覆盖</w:t>
      </w:r>
    </w:p>
    <w:p>
      <w:pPr>
        <w:pStyle w:val="4"/>
        <w:spacing w:before="1"/>
        <w:rPr>
          <w:rFonts w:ascii="黑体"/>
          <w:sz w:val="8"/>
        </w:rPr>
      </w:pPr>
      <w:r>
        <w:drawing>
          <wp:anchor distT="0" distB="0" distL="0" distR="0" simplePos="0" relativeHeight="251659264" behindDoc="0" locked="0" layoutInCell="1" allowOverlap="1">
            <wp:simplePos x="0" y="0"/>
            <wp:positionH relativeFrom="page">
              <wp:posOffset>1371600</wp:posOffset>
            </wp:positionH>
            <wp:positionV relativeFrom="paragraph">
              <wp:posOffset>90170</wp:posOffset>
            </wp:positionV>
            <wp:extent cx="2176145" cy="1794510"/>
            <wp:effectExtent l="0" t="0" r="0" b="0"/>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5.jpeg"/>
                    <pic:cNvPicPr>
                      <a:picLocks noChangeAspect="1"/>
                    </pic:cNvPicPr>
                  </pic:nvPicPr>
                  <pic:blipFill>
                    <a:blip r:embed="rId25" cstate="print"/>
                    <a:stretch>
                      <a:fillRect/>
                    </a:stretch>
                  </pic:blipFill>
                  <pic:spPr>
                    <a:xfrm>
                      <a:off x="0" y="0"/>
                      <a:ext cx="2176364" cy="1794224"/>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4056380</wp:posOffset>
            </wp:positionH>
            <wp:positionV relativeFrom="paragraph">
              <wp:posOffset>90170</wp:posOffset>
            </wp:positionV>
            <wp:extent cx="2284730" cy="1760220"/>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6.jpeg"/>
                    <pic:cNvPicPr>
                      <a:picLocks noChangeAspect="1"/>
                    </pic:cNvPicPr>
                  </pic:nvPicPr>
                  <pic:blipFill>
                    <a:blip r:embed="rId26" cstate="print"/>
                    <a:stretch>
                      <a:fillRect/>
                    </a:stretch>
                  </pic:blipFill>
                  <pic:spPr>
                    <a:xfrm>
                      <a:off x="0" y="0"/>
                      <a:ext cx="2284857" cy="1760220"/>
                    </a:xfrm>
                    <a:prstGeom prst="rect">
                      <a:avLst/>
                    </a:prstGeom>
                  </pic:spPr>
                </pic:pic>
              </a:graphicData>
            </a:graphic>
          </wp:anchor>
        </w:drawing>
      </w:r>
    </w:p>
    <w:p>
      <w:pPr>
        <w:tabs>
          <w:tab w:val="left" w:pos="5518"/>
        </w:tabs>
        <w:spacing w:before="127"/>
        <w:ind w:left="1145" w:right="0" w:firstLine="0"/>
        <w:jc w:val="left"/>
        <w:rPr>
          <w:rFonts w:hint="eastAsia" w:ascii="黑体" w:eastAsia="黑体"/>
          <w:sz w:val="24"/>
        </w:rPr>
      </w:pPr>
      <w:r>
        <w:rPr>
          <w:rFonts w:hint="eastAsia" w:ascii="黑体" w:eastAsia="黑体"/>
          <w:sz w:val="24"/>
        </w:rPr>
        <w:t>管道施工路面恢复现状</w:t>
      </w:r>
      <w:r>
        <w:rPr>
          <w:rFonts w:hint="eastAsia" w:ascii="黑体" w:eastAsia="黑体"/>
          <w:spacing w:val="-60"/>
          <w:sz w:val="24"/>
        </w:rPr>
        <w:t xml:space="preserve"> </w:t>
      </w:r>
      <w:r>
        <w:rPr>
          <w:rFonts w:hint="eastAsia" w:ascii="黑体" w:eastAsia="黑体"/>
          <w:sz w:val="24"/>
        </w:rPr>
        <w:t>1</w:t>
      </w:r>
      <w:r>
        <w:rPr>
          <w:rFonts w:hint="eastAsia" w:ascii="黑体" w:eastAsia="黑体"/>
          <w:sz w:val="24"/>
        </w:rPr>
        <w:tab/>
      </w:r>
      <w:r>
        <w:rPr>
          <w:rFonts w:hint="eastAsia" w:ascii="黑体" w:eastAsia="黑体"/>
          <w:sz w:val="24"/>
        </w:rPr>
        <w:t>管道施工路面恢复现状</w:t>
      </w:r>
      <w:r>
        <w:rPr>
          <w:rFonts w:hint="eastAsia" w:ascii="黑体" w:eastAsia="黑体"/>
          <w:spacing w:val="-61"/>
          <w:sz w:val="24"/>
        </w:rPr>
        <w:t xml:space="preserve"> </w:t>
      </w:r>
      <w:r>
        <w:rPr>
          <w:rFonts w:hint="eastAsia" w:ascii="黑体" w:eastAsia="黑体"/>
          <w:sz w:val="24"/>
        </w:rPr>
        <w:t>2</w:t>
      </w:r>
    </w:p>
    <w:p>
      <w:pPr>
        <w:pStyle w:val="4"/>
        <w:spacing w:before="1"/>
        <w:rPr>
          <w:rFonts w:ascii="黑体"/>
          <w:sz w:val="8"/>
        </w:rPr>
      </w:pPr>
      <w:r>
        <w:drawing>
          <wp:anchor distT="0" distB="0" distL="0" distR="0" simplePos="0" relativeHeight="251659264" behindDoc="0" locked="0" layoutInCell="1" allowOverlap="1">
            <wp:simplePos x="0" y="0"/>
            <wp:positionH relativeFrom="page">
              <wp:posOffset>1254125</wp:posOffset>
            </wp:positionH>
            <wp:positionV relativeFrom="paragraph">
              <wp:posOffset>90170</wp:posOffset>
            </wp:positionV>
            <wp:extent cx="2400300" cy="1810385"/>
            <wp:effectExtent l="0" t="0" r="0" b="0"/>
            <wp:wrapTopAndBottom/>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7.jpeg"/>
                    <pic:cNvPicPr>
                      <a:picLocks noChangeAspect="1"/>
                    </pic:cNvPicPr>
                  </pic:nvPicPr>
                  <pic:blipFill>
                    <a:blip r:embed="rId27" cstate="print"/>
                    <a:stretch>
                      <a:fillRect/>
                    </a:stretch>
                  </pic:blipFill>
                  <pic:spPr>
                    <a:xfrm>
                      <a:off x="0" y="0"/>
                      <a:ext cx="2400350" cy="1810226"/>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4056380</wp:posOffset>
            </wp:positionH>
            <wp:positionV relativeFrom="paragraph">
              <wp:posOffset>119380</wp:posOffset>
            </wp:positionV>
            <wp:extent cx="2284730" cy="1710690"/>
            <wp:effectExtent l="0" t="0" r="0" b="0"/>
            <wp:wrapTopAndBottom/>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8.jpeg"/>
                    <pic:cNvPicPr>
                      <a:picLocks noChangeAspect="1"/>
                    </pic:cNvPicPr>
                  </pic:nvPicPr>
                  <pic:blipFill>
                    <a:blip r:embed="rId28" cstate="print"/>
                    <a:stretch>
                      <a:fillRect/>
                    </a:stretch>
                  </pic:blipFill>
                  <pic:spPr>
                    <a:xfrm>
                      <a:off x="0" y="0"/>
                      <a:ext cx="2284857" cy="1710689"/>
                    </a:xfrm>
                    <a:prstGeom prst="rect">
                      <a:avLst/>
                    </a:prstGeom>
                  </pic:spPr>
                </pic:pic>
              </a:graphicData>
            </a:graphic>
          </wp:anchor>
        </w:drawing>
      </w:r>
    </w:p>
    <w:p>
      <w:pPr>
        <w:tabs>
          <w:tab w:val="left" w:pos="5518"/>
        </w:tabs>
        <w:spacing w:before="102"/>
        <w:ind w:left="1145" w:right="0" w:firstLine="0"/>
        <w:jc w:val="left"/>
        <w:rPr>
          <w:rFonts w:hint="eastAsia" w:ascii="黑体" w:eastAsia="黑体"/>
          <w:sz w:val="24"/>
        </w:rPr>
      </w:pPr>
      <w:r>
        <w:rPr>
          <w:rFonts w:hint="eastAsia" w:ascii="黑体" w:eastAsia="黑体"/>
          <w:sz w:val="24"/>
        </w:rPr>
        <w:t>管道施工路面恢复现状</w:t>
      </w:r>
      <w:r>
        <w:rPr>
          <w:rFonts w:hint="eastAsia" w:ascii="黑体" w:eastAsia="黑体"/>
          <w:spacing w:val="-60"/>
          <w:sz w:val="24"/>
        </w:rPr>
        <w:t xml:space="preserve"> </w:t>
      </w:r>
      <w:r>
        <w:rPr>
          <w:rFonts w:hint="eastAsia" w:ascii="黑体" w:eastAsia="黑体"/>
          <w:sz w:val="24"/>
        </w:rPr>
        <w:t>3</w:t>
      </w:r>
      <w:r>
        <w:rPr>
          <w:rFonts w:hint="eastAsia" w:ascii="黑体" w:eastAsia="黑体"/>
          <w:sz w:val="24"/>
        </w:rPr>
        <w:tab/>
      </w:r>
      <w:r>
        <w:rPr>
          <w:rFonts w:hint="eastAsia" w:ascii="黑体" w:eastAsia="黑体"/>
          <w:sz w:val="24"/>
        </w:rPr>
        <w:t>管道施工路面恢复现状</w:t>
      </w:r>
      <w:r>
        <w:rPr>
          <w:rFonts w:hint="eastAsia" w:ascii="黑体" w:eastAsia="黑体"/>
          <w:spacing w:val="-61"/>
          <w:sz w:val="24"/>
        </w:rPr>
        <w:t xml:space="preserve"> </w:t>
      </w:r>
      <w:r>
        <w:rPr>
          <w:rFonts w:hint="eastAsia" w:ascii="黑体" w:eastAsia="黑体"/>
          <w:sz w:val="24"/>
        </w:rPr>
        <w:t>4</w:t>
      </w:r>
    </w:p>
    <w:p>
      <w:pPr>
        <w:spacing w:after="0"/>
        <w:jc w:val="left"/>
        <w:rPr>
          <w:rFonts w:hint="eastAsia" w:ascii="黑体" w:eastAsia="黑体"/>
          <w:sz w:val="24"/>
        </w:rPr>
        <w:sectPr>
          <w:pgSz w:w="11910" w:h="16840"/>
          <w:pgMar w:top="1300" w:right="1160" w:bottom="1200" w:left="1420" w:header="878" w:footer="1005" w:gutter="0"/>
          <w:cols w:space="720" w:num="1"/>
        </w:sectPr>
      </w:pPr>
    </w:p>
    <w:p>
      <w:pPr>
        <w:pStyle w:val="4"/>
        <w:spacing w:before="9"/>
        <w:rPr>
          <w:rFonts w:ascii="黑体"/>
          <w:sz w:val="14"/>
        </w:rPr>
      </w:pPr>
    </w:p>
    <w:p>
      <w:pPr>
        <w:tabs>
          <w:tab w:val="left" w:pos="5000"/>
        </w:tabs>
        <w:spacing w:line="240" w:lineRule="auto"/>
        <w:ind w:left="567" w:right="0" w:firstLine="0"/>
        <w:rPr>
          <w:rFonts w:ascii="黑体"/>
          <w:sz w:val="20"/>
        </w:rPr>
      </w:pPr>
      <w:r>
        <w:rPr>
          <w:rFonts w:ascii="黑体"/>
          <w:sz w:val="20"/>
        </w:rPr>
        <w:drawing>
          <wp:inline distT="0" distB="0" distL="0" distR="0">
            <wp:extent cx="2399665" cy="1819910"/>
            <wp:effectExtent l="0" t="0" r="0" b="0"/>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9.jpeg"/>
                    <pic:cNvPicPr>
                      <a:picLocks noChangeAspect="1"/>
                    </pic:cNvPicPr>
                  </pic:nvPicPr>
                  <pic:blipFill>
                    <a:blip r:embed="rId29" cstate="print"/>
                    <a:stretch>
                      <a:fillRect/>
                    </a:stretch>
                  </pic:blipFill>
                  <pic:spPr>
                    <a:xfrm>
                      <a:off x="0" y="0"/>
                      <a:ext cx="2399741" cy="1820227"/>
                    </a:xfrm>
                    <a:prstGeom prst="rect">
                      <a:avLst/>
                    </a:prstGeom>
                  </pic:spPr>
                </pic:pic>
              </a:graphicData>
            </a:graphic>
          </wp:inline>
        </w:drawing>
      </w:r>
      <w:r>
        <w:rPr>
          <w:rFonts w:ascii="黑体"/>
          <w:sz w:val="20"/>
        </w:rPr>
        <w:tab/>
      </w:r>
      <w:r>
        <w:rPr>
          <w:rFonts w:ascii="黑体"/>
          <w:position w:val="5"/>
          <w:sz w:val="20"/>
        </w:rPr>
        <w:drawing>
          <wp:inline distT="0" distB="0" distL="0" distR="0">
            <wp:extent cx="2284730" cy="1790700"/>
            <wp:effectExtent l="0" t="0" r="0" b="0"/>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0.jpeg"/>
                    <pic:cNvPicPr>
                      <a:picLocks noChangeAspect="1"/>
                    </pic:cNvPicPr>
                  </pic:nvPicPr>
                  <pic:blipFill>
                    <a:blip r:embed="rId30" cstate="print"/>
                    <a:stretch>
                      <a:fillRect/>
                    </a:stretch>
                  </pic:blipFill>
                  <pic:spPr>
                    <a:xfrm>
                      <a:off x="0" y="0"/>
                      <a:ext cx="2284999" cy="1790700"/>
                    </a:xfrm>
                    <a:prstGeom prst="rect">
                      <a:avLst/>
                    </a:prstGeom>
                  </pic:spPr>
                </pic:pic>
              </a:graphicData>
            </a:graphic>
          </wp:inline>
        </w:drawing>
      </w:r>
    </w:p>
    <w:p>
      <w:pPr>
        <w:tabs>
          <w:tab w:val="left" w:pos="4372"/>
        </w:tabs>
        <w:spacing w:before="114"/>
        <w:ind w:left="0" w:right="80" w:firstLine="0"/>
        <w:jc w:val="center"/>
        <w:rPr>
          <w:rFonts w:hint="eastAsia" w:ascii="黑体" w:eastAsia="黑体"/>
          <w:sz w:val="24"/>
        </w:rPr>
      </w:pPr>
      <w:r>
        <w:rPr>
          <w:rFonts w:hint="eastAsia" w:ascii="黑体" w:eastAsia="黑体"/>
          <w:sz w:val="24"/>
        </w:rPr>
        <w:t>管道施工路面恢复现状</w:t>
      </w:r>
      <w:r>
        <w:rPr>
          <w:rFonts w:hint="eastAsia" w:ascii="黑体" w:eastAsia="黑体"/>
          <w:spacing w:val="-60"/>
          <w:sz w:val="24"/>
        </w:rPr>
        <w:t xml:space="preserve"> </w:t>
      </w:r>
      <w:r>
        <w:rPr>
          <w:rFonts w:hint="eastAsia" w:ascii="黑体" w:eastAsia="黑体"/>
          <w:sz w:val="24"/>
        </w:rPr>
        <w:t>5</w:t>
      </w:r>
      <w:r>
        <w:rPr>
          <w:rFonts w:hint="eastAsia" w:ascii="黑体" w:eastAsia="黑体"/>
          <w:sz w:val="24"/>
        </w:rPr>
        <w:tab/>
      </w:r>
      <w:r>
        <w:rPr>
          <w:rFonts w:hint="eastAsia" w:ascii="黑体" w:eastAsia="黑体"/>
          <w:sz w:val="24"/>
        </w:rPr>
        <w:t>管道施工路面恢复现状</w:t>
      </w:r>
      <w:r>
        <w:rPr>
          <w:rFonts w:hint="eastAsia" w:ascii="黑体" w:eastAsia="黑体"/>
          <w:spacing w:val="-61"/>
          <w:sz w:val="24"/>
        </w:rPr>
        <w:t xml:space="preserve"> </w:t>
      </w:r>
      <w:r>
        <w:rPr>
          <w:rFonts w:hint="eastAsia" w:ascii="黑体" w:eastAsia="黑体"/>
          <w:sz w:val="24"/>
        </w:rPr>
        <w:t>6</w:t>
      </w:r>
    </w:p>
    <w:p>
      <w:pPr>
        <w:pStyle w:val="4"/>
        <w:spacing w:before="2"/>
        <w:rPr>
          <w:rFonts w:ascii="黑体"/>
          <w:sz w:val="8"/>
        </w:rPr>
      </w:pPr>
      <w:r>
        <w:drawing>
          <wp:anchor distT="0" distB="0" distL="0" distR="0" simplePos="0" relativeHeight="251659264" behindDoc="0" locked="0" layoutInCell="1" allowOverlap="1">
            <wp:simplePos x="0" y="0"/>
            <wp:positionH relativeFrom="page">
              <wp:posOffset>1257300</wp:posOffset>
            </wp:positionH>
            <wp:positionV relativeFrom="paragraph">
              <wp:posOffset>90805</wp:posOffset>
            </wp:positionV>
            <wp:extent cx="2389505" cy="1807845"/>
            <wp:effectExtent l="0" t="0" r="0" b="0"/>
            <wp:wrapTopAndBottom/>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1.jpeg"/>
                    <pic:cNvPicPr>
                      <a:picLocks noChangeAspect="1"/>
                    </pic:cNvPicPr>
                  </pic:nvPicPr>
                  <pic:blipFill>
                    <a:blip r:embed="rId31" cstate="print"/>
                    <a:stretch>
                      <a:fillRect/>
                    </a:stretch>
                  </pic:blipFill>
                  <pic:spPr>
                    <a:xfrm>
                      <a:off x="0" y="0"/>
                      <a:ext cx="2389539" cy="1807845"/>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4056380</wp:posOffset>
            </wp:positionH>
            <wp:positionV relativeFrom="paragraph">
              <wp:posOffset>120015</wp:posOffset>
            </wp:positionV>
            <wp:extent cx="2287270" cy="1710690"/>
            <wp:effectExtent l="0" t="0" r="0" b="0"/>
            <wp:wrapTopAndBottom/>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2.jpeg"/>
                    <pic:cNvPicPr>
                      <a:picLocks noChangeAspect="1"/>
                    </pic:cNvPicPr>
                  </pic:nvPicPr>
                  <pic:blipFill>
                    <a:blip r:embed="rId32" cstate="print"/>
                    <a:stretch>
                      <a:fillRect/>
                    </a:stretch>
                  </pic:blipFill>
                  <pic:spPr>
                    <a:xfrm>
                      <a:off x="0" y="0"/>
                      <a:ext cx="2287330" cy="1710689"/>
                    </a:xfrm>
                    <a:prstGeom prst="rect">
                      <a:avLst/>
                    </a:prstGeom>
                  </pic:spPr>
                </pic:pic>
              </a:graphicData>
            </a:graphic>
          </wp:anchor>
        </w:drawing>
      </w:r>
    </w:p>
    <w:p>
      <w:pPr>
        <w:tabs>
          <w:tab w:val="left" w:pos="4372"/>
        </w:tabs>
        <w:spacing w:before="105"/>
        <w:ind w:left="0" w:right="80" w:firstLine="0"/>
        <w:jc w:val="center"/>
        <w:rPr>
          <w:rFonts w:hint="eastAsia" w:ascii="黑体" w:eastAsia="黑体"/>
          <w:sz w:val="24"/>
        </w:rPr>
      </w:pPr>
      <w:r>
        <w:rPr>
          <w:rFonts w:hint="eastAsia" w:ascii="黑体" w:eastAsia="黑体"/>
          <w:sz w:val="24"/>
        </w:rPr>
        <w:t>管道施工路面恢复现状</w:t>
      </w:r>
      <w:r>
        <w:rPr>
          <w:rFonts w:hint="eastAsia" w:ascii="黑体" w:eastAsia="黑体"/>
          <w:spacing w:val="-60"/>
          <w:sz w:val="24"/>
        </w:rPr>
        <w:t xml:space="preserve"> </w:t>
      </w:r>
      <w:r>
        <w:rPr>
          <w:rFonts w:hint="eastAsia" w:ascii="黑体" w:eastAsia="黑体"/>
          <w:sz w:val="24"/>
        </w:rPr>
        <w:t>7</w:t>
      </w:r>
      <w:r>
        <w:rPr>
          <w:rFonts w:hint="eastAsia" w:ascii="黑体" w:eastAsia="黑体"/>
          <w:sz w:val="24"/>
        </w:rPr>
        <w:tab/>
      </w:r>
      <w:r>
        <w:rPr>
          <w:rFonts w:hint="eastAsia" w:ascii="黑体" w:eastAsia="黑体"/>
          <w:sz w:val="24"/>
        </w:rPr>
        <w:t>管道施工路面恢复现状</w:t>
      </w:r>
      <w:r>
        <w:rPr>
          <w:rFonts w:hint="eastAsia" w:ascii="黑体" w:eastAsia="黑体"/>
          <w:spacing w:val="-61"/>
          <w:sz w:val="24"/>
        </w:rPr>
        <w:t xml:space="preserve"> </w:t>
      </w:r>
      <w:r>
        <w:rPr>
          <w:rFonts w:hint="eastAsia" w:ascii="黑体" w:eastAsia="黑体"/>
          <w:sz w:val="24"/>
        </w:rPr>
        <w:t>8</w:t>
      </w:r>
    </w:p>
    <w:p>
      <w:pPr>
        <w:pStyle w:val="4"/>
        <w:spacing w:before="2"/>
        <w:rPr>
          <w:rFonts w:ascii="黑体"/>
          <w:sz w:val="8"/>
        </w:rPr>
      </w:pPr>
      <w:r>
        <w:drawing>
          <wp:anchor distT="0" distB="0" distL="0" distR="0" simplePos="0" relativeHeight="251659264" behindDoc="0" locked="0" layoutInCell="1" allowOverlap="1">
            <wp:simplePos x="0" y="0"/>
            <wp:positionH relativeFrom="page">
              <wp:posOffset>1410335</wp:posOffset>
            </wp:positionH>
            <wp:positionV relativeFrom="paragraph">
              <wp:posOffset>90805</wp:posOffset>
            </wp:positionV>
            <wp:extent cx="2082165" cy="1804035"/>
            <wp:effectExtent l="0" t="0" r="0" b="0"/>
            <wp:wrapTopAndBottom/>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3.jpeg"/>
                    <pic:cNvPicPr>
                      <a:picLocks noChangeAspect="1"/>
                    </pic:cNvPicPr>
                  </pic:nvPicPr>
                  <pic:blipFill>
                    <a:blip r:embed="rId33" cstate="print"/>
                    <a:stretch>
                      <a:fillRect/>
                    </a:stretch>
                  </pic:blipFill>
                  <pic:spPr>
                    <a:xfrm>
                      <a:off x="0" y="0"/>
                      <a:ext cx="2082028" cy="1804225"/>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4051935</wp:posOffset>
            </wp:positionH>
            <wp:positionV relativeFrom="paragraph">
              <wp:posOffset>90805</wp:posOffset>
            </wp:positionV>
            <wp:extent cx="2399665" cy="1840230"/>
            <wp:effectExtent l="0" t="0" r="0" b="0"/>
            <wp:wrapTopAndBottom/>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4.jpeg"/>
                    <pic:cNvPicPr>
                      <a:picLocks noChangeAspect="1"/>
                    </pic:cNvPicPr>
                  </pic:nvPicPr>
                  <pic:blipFill>
                    <a:blip r:embed="rId34" cstate="print"/>
                    <a:stretch>
                      <a:fillRect/>
                    </a:stretch>
                  </pic:blipFill>
                  <pic:spPr>
                    <a:xfrm>
                      <a:off x="0" y="0"/>
                      <a:ext cx="2399622" cy="1840229"/>
                    </a:xfrm>
                    <a:prstGeom prst="rect">
                      <a:avLst/>
                    </a:prstGeom>
                  </pic:spPr>
                </pic:pic>
              </a:graphicData>
            </a:graphic>
          </wp:anchor>
        </w:drawing>
      </w:r>
    </w:p>
    <w:p>
      <w:pPr>
        <w:tabs>
          <w:tab w:val="left" w:pos="4312"/>
        </w:tabs>
        <w:spacing w:before="54"/>
        <w:ind w:left="0" w:right="20" w:firstLine="0"/>
        <w:jc w:val="center"/>
        <w:rPr>
          <w:rFonts w:hint="eastAsia" w:ascii="黑体" w:eastAsia="黑体"/>
          <w:sz w:val="24"/>
        </w:rPr>
      </w:pPr>
      <w:r>
        <w:rPr>
          <w:rFonts w:hint="eastAsia" w:ascii="黑体" w:eastAsia="黑体"/>
          <w:sz w:val="24"/>
        </w:rPr>
        <w:t>管道施工路面恢复现状</w:t>
      </w:r>
      <w:r>
        <w:rPr>
          <w:rFonts w:hint="eastAsia" w:ascii="黑体" w:eastAsia="黑体"/>
          <w:spacing w:val="-60"/>
          <w:sz w:val="24"/>
        </w:rPr>
        <w:t xml:space="preserve"> </w:t>
      </w:r>
      <w:r>
        <w:rPr>
          <w:rFonts w:hint="eastAsia" w:ascii="黑体" w:eastAsia="黑体"/>
          <w:sz w:val="24"/>
        </w:rPr>
        <w:t>9</w:t>
      </w:r>
      <w:r>
        <w:rPr>
          <w:rFonts w:hint="eastAsia" w:ascii="黑体" w:eastAsia="黑体"/>
          <w:sz w:val="24"/>
        </w:rPr>
        <w:tab/>
      </w:r>
      <w:r>
        <w:rPr>
          <w:rFonts w:hint="eastAsia" w:ascii="黑体" w:eastAsia="黑体"/>
          <w:sz w:val="24"/>
        </w:rPr>
        <w:t>管道施工路面恢复现状</w:t>
      </w:r>
      <w:r>
        <w:rPr>
          <w:rFonts w:hint="eastAsia" w:ascii="黑体" w:eastAsia="黑体"/>
          <w:spacing w:val="-61"/>
          <w:sz w:val="24"/>
        </w:rPr>
        <w:t xml:space="preserve"> </w:t>
      </w:r>
      <w:r>
        <w:rPr>
          <w:rFonts w:hint="eastAsia" w:ascii="黑体" w:eastAsia="黑体"/>
          <w:sz w:val="24"/>
        </w:rPr>
        <w:t>10</w:t>
      </w:r>
    </w:p>
    <w:p>
      <w:pPr>
        <w:pStyle w:val="4"/>
        <w:spacing w:before="2"/>
        <w:rPr>
          <w:rFonts w:ascii="黑体"/>
          <w:sz w:val="8"/>
        </w:rPr>
      </w:pPr>
      <w:r>
        <w:drawing>
          <wp:anchor distT="0" distB="0" distL="0" distR="0" simplePos="0" relativeHeight="251659264" behindDoc="0" locked="0" layoutInCell="1" allowOverlap="1">
            <wp:simplePos x="0" y="0"/>
            <wp:positionH relativeFrom="page">
              <wp:posOffset>1347470</wp:posOffset>
            </wp:positionH>
            <wp:positionV relativeFrom="paragraph">
              <wp:posOffset>90805</wp:posOffset>
            </wp:positionV>
            <wp:extent cx="2212340" cy="1810385"/>
            <wp:effectExtent l="0" t="0" r="0" b="0"/>
            <wp:wrapTopAndBottom/>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5.jpeg"/>
                    <pic:cNvPicPr>
                      <a:picLocks noChangeAspect="1"/>
                    </pic:cNvPicPr>
                  </pic:nvPicPr>
                  <pic:blipFill>
                    <a:blip r:embed="rId35" cstate="print"/>
                    <a:stretch>
                      <a:fillRect/>
                    </a:stretch>
                  </pic:blipFill>
                  <pic:spPr>
                    <a:xfrm>
                      <a:off x="0" y="0"/>
                      <a:ext cx="2212323" cy="1810226"/>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4077970</wp:posOffset>
            </wp:positionH>
            <wp:positionV relativeFrom="paragraph">
              <wp:posOffset>90805</wp:posOffset>
            </wp:positionV>
            <wp:extent cx="2307590" cy="1786255"/>
            <wp:effectExtent l="0" t="0" r="0" b="0"/>
            <wp:wrapTopAndBottom/>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6.jpeg"/>
                    <pic:cNvPicPr>
                      <a:picLocks noChangeAspect="1"/>
                    </pic:cNvPicPr>
                  </pic:nvPicPr>
                  <pic:blipFill>
                    <a:blip r:embed="rId36" cstate="print"/>
                    <a:stretch>
                      <a:fillRect/>
                    </a:stretch>
                  </pic:blipFill>
                  <pic:spPr>
                    <a:xfrm>
                      <a:off x="0" y="0"/>
                      <a:ext cx="2307726" cy="1786223"/>
                    </a:xfrm>
                    <a:prstGeom prst="rect">
                      <a:avLst/>
                    </a:prstGeom>
                  </pic:spPr>
                </pic:pic>
              </a:graphicData>
            </a:graphic>
          </wp:anchor>
        </w:drawing>
      </w:r>
    </w:p>
    <w:p>
      <w:pPr>
        <w:tabs>
          <w:tab w:val="left" w:pos="4372"/>
        </w:tabs>
        <w:spacing w:before="102"/>
        <w:ind w:left="0" w:right="80" w:firstLine="0"/>
        <w:jc w:val="center"/>
        <w:rPr>
          <w:rFonts w:hint="eastAsia" w:ascii="黑体" w:eastAsia="黑体"/>
          <w:sz w:val="24"/>
        </w:rPr>
      </w:pPr>
      <w:r>
        <w:rPr>
          <w:rFonts w:hint="eastAsia" w:ascii="黑体" w:eastAsia="黑体"/>
          <w:sz w:val="24"/>
        </w:rPr>
        <w:t>管道施工路面恢复现状</w:t>
      </w:r>
      <w:r>
        <w:rPr>
          <w:rFonts w:hint="eastAsia" w:ascii="黑体" w:eastAsia="黑体"/>
          <w:spacing w:val="-60"/>
          <w:sz w:val="24"/>
        </w:rPr>
        <w:t xml:space="preserve"> </w:t>
      </w:r>
      <w:r>
        <w:rPr>
          <w:rFonts w:hint="eastAsia" w:ascii="黑体" w:eastAsia="黑体"/>
          <w:sz w:val="24"/>
        </w:rPr>
        <w:t>11</w:t>
      </w:r>
      <w:r>
        <w:rPr>
          <w:rFonts w:hint="eastAsia" w:ascii="黑体" w:eastAsia="黑体"/>
          <w:sz w:val="24"/>
        </w:rPr>
        <w:tab/>
      </w:r>
      <w:r>
        <w:rPr>
          <w:rFonts w:hint="eastAsia" w:ascii="黑体" w:eastAsia="黑体"/>
          <w:sz w:val="24"/>
        </w:rPr>
        <w:t>管道施工路面恢复现状</w:t>
      </w:r>
      <w:r>
        <w:rPr>
          <w:rFonts w:hint="eastAsia" w:ascii="黑体" w:eastAsia="黑体"/>
          <w:spacing w:val="-61"/>
          <w:sz w:val="24"/>
        </w:rPr>
        <w:t xml:space="preserve"> </w:t>
      </w:r>
      <w:r>
        <w:rPr>
          <w:rFonts w:hint="eastAsia" w:ascii="黑体" w:eastAsia="黑体"/>
          <w:sz w:val="24"/>
        </w:rPr>
        <w:t>12</w:t>
      </w:r>
    </w:p>
    <w:p>
      <w:pPr>
        <w:spacing w:after="0"/>
        <w:jc w:val="center"/>
        <w:rPr>
          <w:rFonts w:hint="eastAsia" w:ascii="黑体" w:eastAsia="黑体"/>
          <w:sz w:val="24"/>
        </w:rPr>
        <w:sectPr>
          <w:pgSz w:w="11910" w:h="16840"/>
          <w:pgMar w:top="1300" w:right="1160" w:bottom="1200" w:left="1420" w:header="878" w:footer="1005" w:gutter="0"/>
          <w:cols w:space="720" w:num="1"/>
        </w:sectPr>
      </w:pPr>
    </w:p>
    <w:p>
      <w:pPr>
        <w:pStyle w:val="4"/>
        <w:spacing w:before="9"/>
        <w:rPr>
          <w:rFonts w:ascii="黑体"/>
          <w:sz w:val="14"/>
        </w:rPr>
      </w:pPr>
    </w:p>
    <w:p>
      <w:pPr>
        <w:tabs>
          <w:tab w:val="left" w:pos="4971"/>
        </w:tabs>
        <w:spacing w:line="240" w:lineRule="auto"/>
        <w:ind w:left="572" w:right="0" w:firstLine="0"/>
        <w:rPr>
          <w:rFonts w:ascii="黑体"/>
          <w:sz w:val="20"/>
        </w:rPr>
      </w:pPr>
      <w:r>
        <w:rPr>
          <w:rFonts w:ascii="黑体"/>
          <w:position w:val="1"/>
          <w:sz w:val="20"/>
        </w:rPr>
        <w:drawing>
          <wp:inline distT="0" distB="0" distL="0" distR="0">
            <wp:extent cx="2362835" cy="1798320"/>
            <wp:effectExtent l="0" t="0" r="0" b="0"/>
            <wp:docPr id="5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7.jpeg"/>
                    <pic:cNvPicPr>
                      <a:picLocks noChangeAspect="1"/>
                    </pic:cNvPicPr>
                  </pic:nvPicPr>
                  <pic:blipFill>
                    <a:blip r:embed="rId37" cstate="print"/>
                    <a:stretch>
                      <a:fillRect/>
                    </a:stretch>
                  </pic:blipFill>
                  <pic:spPr>
                    <a:xfrm>
                      <a:off x="0" y="0"/>
                      <a:ext cx="2363245" cy="1798320"/>
                    </a:xfrm>
                    <a:prstGeom prst="rect">
                      <a:avLst/>
                    </a:prstGeom>
                  </pic:spPr>
                </pic:pic>
              </a:graphicData>
            </a:graphic>
          </wp:inline>
        </w:drawing>
      </w:r>
      <w:r>
        <w:rPr>
          <w:rFonts w:ascii="黑体"/>
          <w:position w:val="1"/>
          <w:sz w:val="20"/>
        </w:rPr>
        <w:tab/>
      </w:r>
      <w:r>
        <w:rPr>
          <w:rFonts w:ascii="黑体"/>
          <w:sz w:val="20"/>
        </w:rPr>
        <w:drawing>
          <wp:inline distT="0" distB="0" distL="0" distR="0">
            <wp:extent cx="2338070" cy="1802130"/>
            <wp:effectExtent l="0" t="0" r="0" b="0"/>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8.jpeg"/>
                    <pic:cNvPicPr>
                      <a:picLocks noChangeAspect="1"/>
                    </pic:cNvPicPr>
                  </pic:nvPicPr>
                  <pic:blipFill>
                    <a:blip r:embed="rId38" cstate="print"/>
                    <a:stretch>
                      <a:fillRect/>
                    </a:stretch>
                  </pic:blipFill>
                  <pic:spPr>
                    <a:xfrm>
                      <a:off x="0" y="0"/>
                      <a:ext cx="2338412" cy="1802225"/>
                    </a:xfrm>
                    <a:prstGeom prst="rect">
                      <a:avLst/>
                    </a:prstGeom>
                  </pic:spPr>
                </pic:pic>
              </a:graphicData>
            </a:graphic>
          </wp:inline>
        </w:drawing>
      </w:r>
    </w:p>
    <w:p>
      <w:pPr>
        <w:pStyle w:val="4"/>
        <w:spacing w:before="12"/>
        <w:rPr>
          <w:rFonts w:ascii="黑体"/>
          <w:sz w:val="5"/>
        </w:rPr>
      </w:pPr>
    </w:p>
    <w:p>
      <w:pPr>
        <w:tabs>
          <w:tab w:val="left" w:pos="4372"/>
        </w:tabs>
        <w:spacing w:before="66"/>
        <w:ind w:left="0" w:right="80" w:firstLine="0"/>
        <w:jc w:val="center"/>
        <w:rPr>
          <w:rFonts w:hint="eastAsia" w:ascii="黑体" w:eastAsia="黑体"/>
          <w:sz w:val="24"/>
        </w:rPr>
      </w:pPr>
      <w:r>
        <w:rPr>
          <w:rFonts w:hint="eastAsia" w:ascii="黑体" w:eastAsia="黑体"/>
          <w:sz w:val="24"/>
        </w:rPr>
        <w:t>管道施工路面恢复现状</w:t>
      </w:r>
      <w:r>
        <w:rPr>
          <w:rFonts w:hint="eastAsia" w:ascii="黑体" w:eastAsia="黑体"/>
          <w:spacing w:val="-60"/>
          <w:sz w:val="24"/>
        </w:rPr>
        <w:t xml:space="preserve"> </w:t>
      </w:r>
      <w:r>
        <w:rPr>
          <w:rFonts w:hint="eastAsia" w:ascii="黑体" w:eastAsia="黑体"/>
          <w:sz w:val="24"/>
        </w:rPr>
        <w:t>13</w:t>
      </w:r>
      <w:r>
        <w:rPr>
          <w:rFonts w:hint="eastAsia" w:ascii="黑体" w:eastAsia="黑体"/>
          <w:sz w:val="24"/>
        </w:rPr>
        <w:tab/>
      </w:r>
      <w:r>
        <w:rPr>
          <w:rFonts w:hint="eastAsia" w:ascii="黑体" w:eastAsia="黑体"/>
          <w:sz w:val="24"/>
        </w:rPr>
        <w:t>管道施工路面恢复现状</w:t>
      </w:r>
      <w:r>
        <w:rPr>
          <w:rFonts w:hint="eastAsia" w:ascii="黑体" w:eastAsia="黑体"/>
          <w:spacing w:val="-61"/>
          <w:sz w:val="24"/>
        </w:rPr>
        <w:t xml:space="preserve"> </w:t>
      </w:r>
      <w:r>
        <w:rPr>
          <w:rFonts w:hint="eastAsia" w:ascii="黑体" w:eastAsia="黑体"/>
          <w:sz w:val="24"/>
        </w:rPr>
        <w:t>14</w:t>
      </w:r>
    </w:p>
    <w:p>
      <w:pPr>
        <w:pStyle w:val="4"/>
        <w:spacing w:before="1"/>
        <w:rPr>
          <w:rFonts w:ascii="黑体"/>
          <w:sz w:val="8"/>
        </w:rPr>
      </w:pPr>
      <w:r>
        <w:drawing>
          <wp:anchor distT="0" distB="0" distL="0" distR="0" simplePos="0" relativeHeight="251659264" behindDoc="0" locked="0" layoutInCell="1" allowOverlap="1">
            <wp:simplePos x="0" y="0"/>
            <wp:positionH relativeFrom="page">
              <wp:posOffset>1252220</wp:posOffset>
            </wp:positionH>
            <wp:positionV relativeFrom="paragraph">
              <wp:posOffset>90805</wp:posOffset>
            </wp:positionV>
            <wp:extent cx="2400935" cy="1808480"/>
            <wp:effectExtent l="0" t="0" r="0" b="0"/>
            <wp:wrapTopAndBottom/>
            <wp:docPr id="5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9.jpeg"/>
                    <pic:cNvPicPr>
                      <a:picLocks noChangeAspect="1"/>
                    </pic:cNvPicPr>
                  </pic:nvPicPr>
                  <pic:blipFill>
                    <a:blip r:embed="rId39" cstate="print"/>
                    <a:stretch>
                      <a:fillRect/>
                    </a:stretch>
                  </pic:blipFill>
                  <pic:spPr>
                    <a:xfrm>
                      <a:off x="0" y="0"/>
                      <a:ext cx="2400760" cy="1808226"/>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4144645</wp:posOffset>
            </wp:positionH>
            <wp:positionV relativeFrom="paragraph">
              <wp:posOffset>90805</wp:posOffset>
            </wp:positionV>
            <wp:extent cx="2165985" cy="1762125"/>
            <wp:effectExtent l="0" t="0" r="0" b="0"/>
            <wp:wrapTopAndBottom/>
            <wp:docPr id="5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30.jpeg"/>
                    <pic:cNvPicPr>
                      <a:picLocks noChangeAspect="1"/>
                    </pic:cNvPicPr>
                  </pic:nvPicPr>
                  <pic:blipFill>
                    <a:blip r:embed="rId40" cstate="print"/>
                    <a:stretch>
                      <a:fillRect/>
                    </a:stretch>
                  </pic:blipFill>
                  <pic:spPr>
                    <a:xfrm>
                      <a:off x="0" y="0"/>
                      <a:ext cx="2165740" cy="1762125"/>
                    </a:xfrm>
                    <a:prstGeom prst="rect">
                      <a:avLst/>
                    </a:prstGeom>
                  </pic:spPr>
                </pic:pic>
              </a:graphicData>
            </a:graphic>
          </wp:anchor>
        </w:drawing>
      </w:r>
    </w:p>
    <w:p>
      <w:pPr>
        <w:tabs>
          <w:tab w:val="left" w:pos="4372"/>
        </w:tabs>
        <w:spacing w:before="105"/>
        <w:ind w:left="0" w:right="80" w:firstLine="0"/>
        <w:jc w:val="center"/>
        <w:rPr>
          <w:rFonts w:hint="eastAsia" w:ascii="黑体" w:eastAsia="黑体"/>
          <w:sz w:val="24"/>
        </w:rPr>
      </w:pPr>
      <w:r>
        <w:rPr>
          <w:rFonts w:hint="eastAsia" w:ascii="黑体" w:eastAsia="黑体"/>
          <w:sz w:val="24"/>
        </w:rPr>
        <w:t>管道施工路面恢复现状</w:t>
      </w:r>
      <w:r>
        <w:rPr>
          <w:rFonts w:hint="eastAsia" w:ascii="黑体" w:eastAsia="黑体"/>
          <w:spacing w:val="-60"/>
          <w:sz w:val="24"/>
        </w:rPr>
        <w:t xml:space="preserve"> </w:t>
      </w:r>
      <w:r>
        <w:rPr>
          <w:rFonts w:hint="eastAsia" w:ascii="黑体" w:eastAsia="黑体"/>
          <w:sz w:val="24"/>
        </w:rPr>
        <w:t>15</w:t>
      </w:r>
      <w:r>
        <w:rPr>
          <w:rFonts w:hint="eastAsia" w:ascii="黑体" w:eastAsia="黑体"/>
          <w:sz w:val="24"/>
        </w:rPr>
        <w:tab/>
      </w:r>
      <w:r>
        <w:rPr>
          <w:rFonts w:hint="eastAsia" w:ascii="黑体" w:eastAsia="黑体"/>
          <w:sz w:val="24"/>
        </w:rPr>
        <w:t>管道施工路面恢复现状</w:t>
      </w:r>
      <w:r>
        <w:rPr>
          <w:rFonts w:hint="eastAsia" w:ascii="黑体" w:eastAsia="黑体"/>
          <w:spacing w:val="-61"/>
          <w:sz w:val="24"/>
        </w:rPr>
        <w:t xml:space="preserve"> </w:t>
      </w:r>
      <w:r>
        <w:rPr>
          <w:rFonts w:hint="eastAsia" w:ascii="黑体" w:eastAsia="黑体"/>
          <w:sz w:val="24"/>
        </w:rPr>
        <w:t>16</w:t>
      </w:r>
    </w:p>
    <w:sectPr>
      <w:pgSz w:w="11910" w:h="16840"/>
      <w:pgMar w:top="1300" w:right="1160" w:bottom="1200" w:left="1420" w:header="878" w:footer="1005"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pict>
        <v:shape id="_x0000_s2051" o:spid="_x0000_s2051" o:spt="202" type="#_x0000_t202" style="position:absolute;left:0pt;margin-left:296.4pt;margin-top:780.6pt;height:12pt;width:8.5pt;mso-position-horizontal-relative:page;mso-position-vertical-relative:page;z-index:-251654144;mso-width-relative:page;mso-height-relative:page;" filled="f" stroked="f" coordsize="21600,21600">
          <v:path/>
          <v:fill on="f" focussize="0,0"/>
          <v:stroke on="f" joinstyle="miter"/>
          <v:imagedata o:title=""/>
          <o:lock v:ext="edit"/>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pict>
        <v:shape id="_x0000_s2052" o:spid="_x0000_s2052" o:spt="202" type="#_x0000_t202" style="position:absolute;left:0pt;margin-left:294.25pt;margin-top:780.6pt;height:12pt;width:13.1pt;mso-position-horizontal-relative:page;mso-position-vertical-relative:page;z-index:-251653120;mso-width-relative:page;mso-height-relative:page;" filled="f" stroked="f" coordsize="21600,21600">
          <v:path/>
          <v:fill on="f" focussize="0,0"/>
          <v:stroke on="f" joinstyle="miter"/>
          <v:imagedata o:title=""/>
          <o:lock v:ext="edit"/>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10</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pict>
        <v:shape id="_x0000_s2053" o:spid="_x0000_s2053" o:spt="202" type="#_x0000_t202" style="position:absolute;left:0pt;margin-left:294.25pt;margin-top:780.6pt;height:12pt;width:13.1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20</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pict>
        <v:shape id="_x0000_s2054" o:spid="_x0000_s2054" o:spt="202" type="#_x0000_t202" style="position:absolute;left:0pt;margin-left:294.25pt;margin-top:780.6pt;height:12pt;width:13.1pt;mso-position-horizontal-relative:page;mso-position-vertical-relative:page;z-index:-251651072;mso-width-relative:page;mso-height-relative:page;" filled="f" stroked="f" coordsize="21600,21600">
          <v:path/>
          <v:fill on="f" focussize="0,0"/>
          <v:stroke on="f" joinstyle="miter"/>
          <v:imagedata o:title=""/>
          <o:lock v:ext="edit"/>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30</w:t>
                </w:r>
                <w: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pict>
        <v:line id="_x0000_s2049" o:spid="_x0000_s2049" o:spt="20" style="position:absolute;left:0pt;margin-left:76.55pt;margin-top:55.55pt;height:0pt;width:448.45pt;mso-position-horizontal-relative:page;mso-position-vertical-relative:page;z-index:-251656192;mso-width-relative:page;mso-height-relative:page;" stroked="t" coordsize="21600,21600">
          <v:path arrowok="t"/>
          <v:fill focussize="0,0"/>
          <v:stroke weight="0.72pt" color="#000000"/>
          <v:imagedata o:title=""/>
          <o:lock v:ext="edit"/>
        </v:line>
      </w:pict>
    </w:r>
    <w:r>
      <w:pict>
        <v:shape id="_x0000_s2050" o:spid="_x0000_s2050" o:spt="202" type="#_x0000_t202" style="position:absolute;left:0pt;margin-left:155.7pt;margin-top:42.9pt;height:11pt;width:290pt;mso-position-horizontal-relative:page;mso-position-vertical-relative:page;z-index:-251655168;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rFonts w:hint="eastAsia" w:ascii="宋体" w:eastAsia="宋体"/>
                    <w:sz w:val="18"/>
                  </w:rPr>
                </w:pPr>
                <w:r>
                  <w:rPr>
                    <w:rFonts w:hint="eastAsia" w:ascii="宋体" w:eastAsia="宋体"/>
                    <w:sz w:val="18"/>
                  </w:rPr>
                  <w:t>深圳市龙岗区龙岗街道龙西社区雨污分流管网工程水土保持设施验收报告</w:t>
                </w: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9341B"/>
    <w:multiLevelType w:val="multilevel"/>
    <w:tmpl w:val="9239341B"/>
    <w:lvl w:ilvl="0" w:tentative="0">
      <w:start w:val="1"/>
      <w:numFmt w:val="decimal"/>
      <w:lvlText w:val="（%1）"/>
      <w:lvlJc w:val="left"/>
      <w:pPr>
        <w:ind w:left="1370" w:hanging="702"/>
        <w:jc w:val="left"/>
      </w:pPr>
      <w:rPr>
        <w:rFonts w:hint="default" w:ascii="仿宋" w:hAnsi="仿宋" w:eastAsia="仿宋" w:cs="仿宋"/>
        <w:spacing w:val="-3"/>
        <w:w w:val="100"/>
        <w:sz w:val="26"/>
        <w:szCs w:val="26"/>
        <w:lang w:val="zh-CN" w:eastAsia="zh-CN" w:bidi="zh-CN"/>
      </w:rPr>
    </w:lvl>
    <w:lvl w:ilvl="1" w:tentative="0">
      <w:start w:val="0"/>
      <w:numFmt w:val="bullet"/>
      <w:lvlText w:val="•"/>
      <w:lvlJc w:val="left"/>
      <w:pPr>
        <w:ind w:left="2174" w:hanging="702"/>
      </w:pPr>
      <w:rPr>
        <w:rFonts w:hint="default"/>
        <w:lang w:val="zh-CN" w:eastAsia="zh-CN" w:bidi="zh-CN"/>
      </w:rPr>
    </w:lvl>
    <w:lvl w:ilvl="2" w:tentative="0">
      <w:start w:val="0"/>
      <w:numFmt w:val="bullet"/>
      <w:lvlText w:val="•"/>
      <w:lvlJc w:val="left"/>
      <w:pPr>
        <w:ind w:left="2969" w:hanging="702"/>
      </w:pPr>
      <w:rPr>
        <w:rFonts w:hint="default"/>
        <w:lang w:val="zh-CN" w:eastAsia="zh-CN" w:bidi="zh-CN"/>
      </w:rPr>
    </w:lvl>
    <w:lvl w:ilvl="3" w:tentative="0">
      <w:start w:val="0"/>
      <w:numFmt w:val="bullet"/>
      <w:lvlText w:val="•"/>
      <w:lvlJc w:val="left"/>
      <w:pPr>
        <w:ind w:left="3763" w:hanging="702"/>
      </w:pPr>
      <w:rPr>
        <w:rFonts w:hint="default"/>
        <w:lang w:val="zh-CN" w:eastAsia="zh-CN" w:bidi="zh-CN"/>
      </w:rPr>
    </w:lvl>
    <w:lvl w:ilvl="4" w:tentative="0">
      <w:start w:val="0"/>
      <w:numFmt w:val="bullet"/>
      <w:lvlText w:val="•"/>
      <w:lvlJc w:val="left"/>
      <w:pPr>
        <w:ind w:left="4558" w:hanging="702"/>
      </w:pPr>
      <w:rPr>
        <w:rFonts w:hint="default"/>
        <w:lang w:val="zh-CN" w:eastAsia="zh-CN" w:bidi="zh-CN"/>
      </w:rPr>
    </w:lvl>
    <w:lvl w:ilvl="5" w:tentative="0">
      <w:start w:val="0"/>
      <w:numFmt w:val="bullet"/>
      <w:lvlText w:val="•"/>
      <w:lvlJc w:val="left"/>
      <w:pPr>
        <w:ind w:left="5353" w:hanging="702"/>
      </w:pPr>
      <w:rPr>
        <w:rFonts w:hint="default"/>
        <w:lang w:val="zh-CN" w:eastAsia="zh-CN" w:bidi="zh-CN"/>
      </w:rPr>
    </w:lvl>
    <w:lvl w:ilvl="6" w:tentative="0">
      <w:start w:val="0"/>
      <w:numFmt w:val="bullet"/>
      <w:lvlText w:val="•"/>
      <w:lvlJc w:val="left"/>
      <w:pPr>
        <w:ind w:left="6147" w:hanging="702"/>
      </w:pPr>
      <w:rPr>
        <w:rFonts w:hint="default"/>
        <w:lang w:val="zh-CN" w:eastAsia="zh-CN" w:bidi="zh-CN"/>
      </w:rPr>
    </w:lvl>
    <w:lvl w:ilvl="7" w:tentative="0">
      <w:start w:val="0"/>
      <w:numFmt w:val="bullet"/>
      <w:lvlText w:val="•"/>
      <w:lvlJc w:val="left"/>
      <w:pPr>
        <w:ind w:left="6942" w:hanging="702"/>
      </w:pPr>
      <w:rPr>
        <w:rFonts w:hint="default"/>
        <w:lang w:val="zh-CN" w:eastAsia="zh-CN" w:bidi="zh-CN"/>
      </w:rPr>
    </w:lvl>
    <w:lvl w:ilvl="8" w:tentative="0">
      <w:start w:val="0"/>
      <w:numFmt w:val="bullet"/>
      <w:lvlText w:val="•"/>
      <w:lvlJc w:val="left"/>
      <w:pPr>
        <w:ind w:left="7736" w:hanging="702"/>
      </w:pPr>
      <w:rPr>
        <w:rFonts w:hint="default"/>
        <w:lang w:val="zh-CN" w:eastAsia="zh-CN" w:bidi="zh-CN"/>
      </w:rPr>
    </w:lvl>
  </w:abstractNum>
  <w:abstractNum w:abstractNumId="1">
    <w:nsid w:val="B5E306ED"/>
    <w:multiLevelType w:val="multilevel"/>
    <w:tmpl w:val="B5E306ED"/>
    <w:lvl w:ilvl="0" w:tentative="0">
      <w:start w:val="1"/>
      <w:numFmt w:val="decimal"/>
      <w:lvlText w:val="（%1）"/>
      <w:lvlJc w:val="left"/>
      <w:pPr>
        <w:ind w:left="1382" w:hanging="702"/>
        <w:jc w:val="left"/>
      </w:pPr>
      <w:rPr>
        <w:rFonts w:hint="default" w:ascii="仿宋" w:hAnsi="仿宋" w:eastAsia="仿宋" w:cs="仿宋"/>
        <w:spacing w:val="-2"/>
        <w:w w:val="100"/>
        <w:sz w:val="26"/>
        <w:szCs w:val="26"/>
        <w:lang w:val="zh-CN" w:eastAsia="zh-CN" w:bidi="zh-CN"/>
      </w:rPr>
    </w:lvl>
    <w:lvl w:ilvl="1" w:tentative="0">
      <w:start w:val="0"/>
      <w:numFmt w:val="bullet"/>
      <w:lvlText w:val="•"/>
      <w:lvlJc w:val="left"/>
      <w:pPr>
        <w:ind w:left="2174" w:hanging="702"/>
      </w:pPr>
      <w:rPr>
        <w:rFonts w:hint="default"/>
        <w:lang w:val="zh-CN" w:eastAsia="zh-CN" w:bidi="zh-CN"/>
      </w:rPr>
    </w:lvl>
    <w:lvl w:ilvl="2" w:tentative="0">
      <w:start w:val="0"/>
      <w:numFmt w:val="bullet"/>
      <w:lvlText w:val="•"/>
      <w:lvlJc w:val="left"/>
      <w:pPr>
        <w:ind w:left="2969" w:hanging="702"/>
      </w:pPr>
      <w:rPr>
        <w:rFonts w:hint="default"/>
        <w:lang w:val="zh-CN" w:eastAsia="zh-CN" w:bidi="zh-CN"/>
      </w:rPr>
    </w:lvl>
    <w:lvl w:ilvl="3" w:tentative="0">
      <w:start w:val="0"/>
      <w:numFmt w:val="bullet"/>
      <w:lvlText w:val="•"/>
      <w:lvlJc w:val="left"/>
      <w:pPr>
        <w:ind w:left="3763" w:hanging="702"/>
      </w:pPr>
      <w:rPr>
        <w:rFonts w:hint="default"/>
        <w:lang w:val="zh-CN" w:eastAsia="zh-CN" w:bidi="zh-CN"/>
      </w:rPr>
    </w:lvl>
    <w:lvl w:ilvl="4" w:tentative="0">
      <w:start w:val="0"/>
      <w:numFmt w:val="bullet"/>
      <w:lvlText w:val="•"/>
      <w:lvlJc w:val="left"/>
      <w:pPr>
        <w:ind w:left="4558" w:hanging="702"/>
      </w:pPr>
      <w:rPr>
        <w:rFonts w:hint="default"/>
        <w:lang w:val="zh-CN" w:eastAsia="zh-CN" w:bidi="zh-CN"/>
      </w:rPr>
    </w:lvl>
    <w:lvl w:ilvl="5" w:tentative="0">
      <w:start w:val="0"/>
      <w:numFmt w:val="bullet"/>
      <w:lvlText w:val="•"/>
      <w:lvlJc w:val="left"/>
      <w:pPr>
        <w:ind w:left="5353" w:hanging="702"/>
      </w:pPr>
      <w:rPr>
        <w:rFonts w:hint="default"/>
        <w:lang w:val="zh-CN" w:eastAsia="zh-CN" w:bidi="zh-CN"/>
      </w:rPr>
    </w:lvl>
    <w:lvl w:ilvl="6" w:tentative="0">
      <w:start w:val="0"/>
      <w:numFmt w:val="bullet"/>
      <w:lvlText w:val="•"/>
      <w:lvlJc w:val="left"/>
      <w:pPr>
        <w:ind w:left="6147" w:hanging="702"/>
      </w:pPr>
      <w:rPr>
        <w:rFonts w:hint="default"/>
        <w:lang w:val="zh-CN" w:eastAsia="zh-CN" w:bidi="zh-CN"/>
      </w:rPr>
    </w:lvl>
    <w:lvl w:ilvl="7" w:tentative="0">
      <w:start w:val="0"/>
      <w:numFmt w:val="bullet"/>
      <w:lvlText w:val="•"/>
      <w:lvlJc w:val="left"/>
      <w:pPr>
        <w:ind w:left="6942" w:hanging="702"/>
      </w:pPr>
      <w:rPr>
        <w:rFonts w:hint="default"/>
        <w:lang w:val="zh-CN" w:eastAsia="zh-CN" w:bidi="zh-CN"/>
      </w:rPr>
    </w:lvl>
    <w:lvl w:ilvl="8" w:tentative="0">
      <w:start w:val="0"/>
      <w:numFmt w:val="bullet"/>
      <w:lvlText w:val="•"/>
      <w:lvlJc w:val="left"/>
      <w:pPr>
        <w:ind w:left="7736" w:hanging="702"/>
      </w:pPr>
      <w:rPr>
        <w:rFonts w:hint="default"/>
        <w:lang w:val="zh-CN" w:eastAsia="zh-CN" w:bidi="zh-CN"/>
      </w:rPr>
    </w:lvl>
  </w:abstractNum>
  <w:abstractNum w:abstractNumId="2">
    <w:nsid w:val="BF205925"/>
    <w:multiLevelType w:val="multilevel"/>
    <w:tmpl w:val="BF205925"/>
    <w:lvl w:ilvl="0" w:tentative="0">
      <w:start w:val="1"/>
      <w:numFmt w:val="decimal"/>
      <w:lvlText w:val="%1）"/>
      <w:lvlJc w:val="left"/>
      <w:pPr>
        <w:ind w:left="1094" w:hanging="424"/>
        <w:jc w:val="left"/>
      </w:pPr>
      <w:rPr>
        <w:rFonts w:hint="default" w:ascii="仿宋" w:hAnsi="仿宋" w:eastAsia="仿宋" w:cs="仿宋"/>
        <w:spacing w:val="-3"/>
        <w:w w:val="100"/>
        <w:sz w:val="26"/>
        <w:szCs w:val="26"/>
        <w:lang w:val="zh-CN" w:eastAsia="zh-CN" w:bidi="zh-CN"/>
      </w:rPr>
    </w:lvl>
    <w:lvl w:ilvl="1" w:tentative="0">
      <w:start w:val="0"/>
      <w:numFmt w:val="bullet"/>
      <w:lvlText w:val="•"/>
      <w:lvlJc w:val="left"/>
      <w:pPr>
        <w:ind w:left="1922" w:hanging="424"/>
      </w:pPr>
      <w:rPr>
        <w:rFonts w:hint="default"/>
        <w:lang w:val="zh-CN" w:eastAsia="zh-CN" w:bidi="zh-CN"/>
      </w:rPr>
    </w:lvl>
    <w:lvl w:ilvl="2" w:tentative="0">
      <w:start w:val="0"/>
      <w:numFmt w:val="bullet"/>
      <w:lvlText w:val="•"/>
      <w:lvlJc w:val="left"/>
      <w:pPr>
        <w:ind w:left="2745" w:hanging="424"/>
      </w:pPr>
      <w:rPr>
        <w:rFonts w:hint="default"/>
        <w:lang w:val="zh-CN" w:eastAsia="zh-CN" w:bidi="zh-CN"/>
      </w:rPr>
    </w:lvl>
    <w:lvl w:ilvl="3" w:tentative="0">
      <w:start w:val="0"/>
      <w:numFmt w:val="bullet"/>
      <w:lvlText w:val="•"/>
      <w:lvlJc w:val="left"/>
      <w:pPr>
        <w:ind w:left="3567" w:hanging="424"/>
      </w:pPr>
      <w:rPr>
        <w:rFonts w:hint="default"/>
        <w:lang w:val="zh-CN" w:eastAsia="zh-CN" w:bidi="zh-CN"/>
      </w:rPr>
    </w:lvl>
    <w:lvl w:ilvl="4" w:tentative="0">
      <w:start w:val="0"/>
      <w:numFmt w:val="bullet"/>
      <w:lvlText w:val="•"/>
      <w:lvlJc w:val="left"/>
      <w:pPr>
        <w:ind w:left="4390" w:hanging="424"/>
      </w:pPr>
      <w:rPr>
        <w:rFonts w:hint="default"/>
        <w:lang w:val="zh-CN" w:eastAsia="zh-CN" w:bidi="zh-CN"/>
      </w:rPr>
    </w:lvl>
    <w:lvl w:ilvl="5" w:tentative="0">
      <w:start w:val="0"/>
      <w:numFmt w:val="bullet"/>
      <w:lvlText w:val="•"/>
      <w:lvlJc w:val="left"/>
      <w:pPr>
        <w:ind w:left="5213" w:hanging="424"/>
      </w:pPr>
      <w:rPr>
        <w:rFonts w:hint="default"/>
        <w:lang w:val="zh-CN" w:eastAsia="zh-CN" w:bidi="zh-CN"/>
      </w:rPr>
    </w:lvl>
    <w:lvl w:ilvl="6" w:tentative="0">
      <w:start w:val="0"/>
      <w:numFmt w:val="bullet"/>
      <w:lvlText w:val="•"/>
      <w:lvlJc w:val="left"/>
      <w:pPr>
        <w:ind w:left="6035" w:hanging="424"/>
      </w:pPr>
      <w:rPr>
        <w:rFonts w:hint="default"/>
        <w:lang w:val="zh-CN" w:eastAsia="zh-CN" w:bidi="zh-CN"/>
      </w:rPr>
    </w:lvl>
    <w:lvl w:ilvl="7" w:tentative="0">
      <w:start w:val="0"/>
      <w:numFmt w:val="bullet"/>
      <w:lvlText w:val="•"/>
      <w:lvlJc w:val="left"/>
      <w:pPr>
        <w:ind w:left="6858" w:hanging="424"/>
      </w:pPr>
      <w:rPr>
        <w:rFonts w:hint="default"/>
        <w:lang w:val="zh-CN" w:eastAsia="zh-CN" w:bidi="zh-CN"/>
      </w:rPr>
    </w:lvl>
    <w:lvl w:ilvl="8" w:tentative="0">
      <w:start w:val="0"/>
      <w:numFmt w:val="bullet"/>
      <w:lvlText w:val="•"/>
      <w:lvlJc w:val="left"/>
      <w:pPr>
        <w:ind w:left="7680" w:hanging="424"/>
      </w:pPr>
      <w:rPr>
        <w:rFonts w:hint="default"/>
        <w:lang w:val="zh-CN" w:eastAsia="zh-CN" w:bidi="zh-CN"/>
      </w:rPr>
    </w:lvl>
  </w:abstractNum>
  <w:abstractNum w:abstractNumId="3">
    <w:nsid w:val="C8879AEF"/>
    <w:multiLevelType w:val="multilevel"/>
    <w:tmpl w:val="C8879AEF"/>
    <w:lvl w:ilvl="0" w:tentative="0">
      <w:start w:val="1"/>
      <w:numFmt w:val="decimal"/>
      <w:lvlText w:val="（%1）"/>
      <w:lvlJc w:val="left"/>
      <w:pPr>
        <w:ind w:left="111" w:hanging="702"/>
        <w:jc w:val="left"/>
      </w:pPr>
      <w:rPr>
        <w:rFonts w:hint="default" w:ascii="仿宋" w:hAnsi="仿宋" w:eastAsia="仿宋" w:cs="仿宋"/>
        <w:spacing w:val="-34"/>
        <w:w w:val="100"/>
        <w:sz w:val="26"/>
        <w:szCs w:val="26"/>
        <w:lang w:val="zh-CN" w:eastAsia="zh-CN" w:bidi="zh-CN"/>
      </w:rPr>
    </w:lvl>
    <w:lvl w:ilvl="1" w:tentative="0">
      <w:start w:val="0"/>
      <w:numFmt w:val="bullet"/>
      <w:lvlText w:val="•"/>
      <w:lvlJc w:val="left"/>
      <w:pPr>
        <w:ind w:left="1040" w:hanging="702"/>
      </w:pPr>
      <w:rPr>
        <w:rFonts w:hint="default"/>
        <w:lang w:val="zh-CN" w:eastAsia="zh-CN" w:bidi="zh-CN"/>
      </w:rPr>
    </w:lvl>
    <w:lvl w:ilvl="2" w:tentative="0">
      <w:start w:val="0"/>
      <w:numFmt w:val="bullet"/>
      <w:lvlText w:val="•"/>
      <w:lvlJc w:val="left"/>
      <w:pPr>
        <w:ind w:left="1961" w:hanging="702"/>
      </w:pPr>
      <w:rPr>
        <w:rFonts w:hint="default"/>
        <w:lang w:val="zh-CN" w:eastAsia="zh-CN" w:bidi="zh-CN"/>
      </w:rPr>
    </w:lvl>
    <w:lvl w:ilvl="3" w:tentative="0">
      <w:start w:val="0"/>
      <w:numFmt w:val="bullet"/>
      <w:lvlText w:val="•"/>
      <w:lvlJc w:val="left"/>
      <w:pPr>
        <w:ind w:left="2881" w:hanging="702"/>
      </w:pPr>
      <w:rPr>
        <w:rFonts w:hint="default"/>
        <w:lang w:val="zh-CN" w:eastAsia="zh-CN" w:bidi="zh-CN"/>
      </w:rPr>
    </w:lvl>
    <w:lvl w:ilvl="4" w:tentative="0">
      <w:start w:val="0"/>
      <w:numFmt w:val="bullet"/>
      <w:lvlText w:val="•"/>
      <w:lvlJc w:val="left"/>
      <w:pPr>
        <w:ind w:left="3802" w:hanging="702"/>
      </w:pPr>
      <w:rPr>
        <w:rFonts w:hint="default"/>
        <w:lang w:val="zh-CN" w:eastAsia="zh-CN" w:bidi="zh-CN"/>
      </w:rPr>
    </w:lvl>
    <w:lvl w:ilvl="5" w:tentative="0">
      <w:start w:val="0"/>
      <w:numFmt w:val="bullet"/>
      <w:lvlText w:val="•"/>
      <w:lvlJc w:val="left"/>
      <w:pPr>
        <w:ind w:left="4723" w:hanging="702"/>
      </w:pPr>
      <w:rPr>
        <w:rFonts w:hint="default"/>
        <w:lang w:val="zh-CN" w:eastAsia="zh-CN" w:bidi="zh-CN"/>
      </w:rPr>
    </w:lvl>
    <w:lvl w:ilvl="6" w:tentative="0">
      <w:start w:val="0"/>
      <w:numFmt w:val="bullet"/>
      <w:lvlText w:val="•"/>
      <w:lvlJc w:val="left"/>
      <w:pPr>
        <w:ind w:left="5643" w:hanging="702"/>
      </w:pPr>
      <w:rPr>
        <w:rFonts w:hint="default"/>
        <w:lang w:val="zh-CN" w:eastAsia="zh-CN" w:bidi="zh-CN"/>
      </w:rPr>
    </w:lvl>
    <w:lvl w:ilvl="7" w:tentative="0">
      <w:start w:val="0"/>
      <w:numFmt w:val="bullet"/>
      <w:lvlText w:val="•"/>
      <w:lvlJc w:val="left"/>
      <w:pPr>
        <w:ind w:left="6564" w:hanging="702"/>
      </w:pPr>
      <w:rPr>
        <w:rFonts w:hint="default"/>
        <w:lang w:val="zh-CN" w:eastAsia="zh-CN" w:bidi="zh-CN"/>
      </w:rPr>
    </w:lvl>
    <w:lvl w:ilvl="8" w:tentative="0">
      <w:start w:val="0"/>
      <w:numFmt w:val="bullet"/>
      <w:lvlText w:val="•"/>
      <w:lvlJc w:val="left"/>
      <w:pPr>
        <w:ind w:left="7484" w:hanging="702"/>
      </w:pPr>
      <w:rPr>
        <w:rFonts w:hint="default"/>
        <w:lang w:val="zh-CN" w:eastAsia="zh-CN" w:bidi="zh-CN"/>
      </w:rPr>
    </w:lvl>
  </w:abstractNum>
  <w:abstractNum w:abstractNumId="4">
    <w:nsid w:val="CF092B84"/>
    <w:multiLevelType w:val="multilevel"/>
    <w:tmpl w:val="CF092B84"/>
    <w:lvl w:ilvl="0" w:tentative="0">
      <w:start w:val="1"/>
      <w:numFmt w:val="decimal"/>
      <w:lvlText w:val="（%1）"/>
      <w:lvlJc w:val="left"/>
      <w:pPr>
        <w:ind w:left="1372" w:hanging="702"/>
        <w:jc w:val="left"/>
      </w:pPr>
      <w:rPr>
        <w:rFonts w:hint="default" w:ascii="仿宋" w:hAnsi="仿宋" w:eastAsia="仿宋" w:cs="仿宋"/>
        <w:spacing w:val="-2"/>
        <w:w w:val="100"/>
        <w:sz w:val="26"/>
        <w:szCs w:val="26"/>
        <w:lang w:val="zh-CN" w:eastAsia="zh-CN" w:bidi="zh-CN"/>
      </w:rPr>
    </w:lvl>
    <w:lvl w:ilvl="1" w:tentative="0">
      <w:start w:val="0"/>
      <w:numFmt w:val="bullet"/>
      <w:lvlText w:val="•"/>
      <w:lvlJc w:val="left"/>
      <w:pPr>
        <w:ind w:left="2174" w:hanging="702"/>
      </w:pPr>
      <w:rPr>
        <w:rFonts w:hint="default"/>
        <w:lang w:val="zh-CN" w:eastAsia="zh-CN" w:bidi="zh-CN"/>
      </w:rPr>
    </w:lvl>
    <w:lvl w:ilvl="2" w:tentative="0">
      <w:start w:val="0"/>
      <w:numFmt w:val="bullet"/>
      <w:lvlText w:val="•"/>
      <w:lvlJc w:val="left"/>
      <w:pPr>
        <w:ind w:left="2969" w:hanging="702"/>
      </w:pPr>
      <w:rPr>
        <w:rFonts w:hint="default"/>
        <w:lang w:val="zh-CN" w:eastAsia="zh-CN" w:bidi="zh-CN"/>
      </w:rPr>
    </w:lvl>
    <w:lvl w:ilvl="3" w:tentative="0">
      <w:start w:val="0"/>
      <w:numFmt w:val="bullet"/>
      <w:lvlText w:val="•"/>
      <w:lvlJc w:val="left"/>
      <w:pPr>
        <w:ind w:left="3763" w:hanging="702"/>
      </w:pPr>
      <w:rPr>
        <w:rFonts w:hint="default"/>
        <w:lang w:val="zh-CN" w:eastAsia="zh-CN" w:bidi="zh-CN"/>
      </w:rPr>
    </w:lvl>
    <w:lvl w:ilvl="4" w:tentative="0">
      <w:start w:val="0"/>
      <w:numFmt w:val="bullet"/>
      <w:lvlText w:val="•"/>
      <w:lvlJc w:val="left"/>
      <w:pPr>
        <w:ind w:left="4558" w:hanging="702"/>
      </w:pPr>
      <w:rPr>
        <w:rFonts w:hint="default"/>
        <w:lang w:val="zh-CN" w:eastAsia="zh-CN" w:bidi="zh-CN"/>
      </w:rPr>
    </w:lvl>
    <w:lvl w:ilvl="5" w:tentative="0">
      <w:start w:val="0"/>
      <w:numFmt w:val="bullet"/>
      <w:lvlText w:val="•"/>
      <w:lvlJc w:val="left"/>
      <w:pPr>
        <w:ind w:left="5353" w:hanging="702"/>
      </w:pPr>
      <w:rPr>
        <w:rFonts w:hint="default"/>
        <w:lang w:val="zh-CN" w:eastAsia="zh-CN" w:bidi="zh-CN"/>
      </w:rPr>
    </w:lvl>
    <w:lvl w:ilvl="6" w:tentative="0">
      <w:start w:val="0"/>
      <w:numFmt w:val="bullet"/>
      <w:lvlText w:val="•"/>
      <w:lvlJc w:val="left"/>
      <w:pPr>
        <w:ind w:left="6147" w:hanging="702"/>
      </w:pPr>
      <w:rPr>
        <w:rFonts w:hint="default"/>
        <w:lang w:val="zh-CN" w:eastAsia="zh-CN" w:bidi="zh-CN"/>
      </w:rPr>
    </w:lvl>
    <w:lvl w:ilvl="7" w:tentative="0">
      <w:start w:val="0"/>
      <w:numFmt w:val="bullet"/>
      <w:lvlText w:val="•"/>
      <w:lvlJc w:val="left"/>
      <w:pPr>
        <w:ind w:left="6942" w:hanging="702"/>
      </w:pPr>
      <w:rPr>
        <w:rFonts w:hint="default"/>
        <w:lang w:val="zh-CN" w:eastAsia="zh-CN" w:bidi="zh-CN"/>
      </w:rPr>
    </w:lvl>
    <w:lvl w:ilvl="8" w:tentative="0">
      <w:start w:val="0"/>
      <w:numFmt w:val="bullet"/>
      <w:lvlText w:val="•"/>
      <w:lvlJc w:val="left"/>
      <w:pPr>
        <w:ind w:left="7736" w:hanging="702"/>
      </w:pPr>
      <w:rPr>
        <w:rFonts w:hint="default"/>
        <w:lang w:val="zh-CN" w:eastAsia="zh-CN" w:bidi="zh-CN"/>
      </w:rPr>
    </w:lvl>
  </w:abstractNum>
  <w:abstractNum w:abstractNumId="5">
    <w:nsid w:val="DCBA6B53"/>
    <w:multiLevelType w:val="multilevel"/>
    <w:tmpl w:val="DCBA6B53"/>
    <w:lvl w:ilvl="0" w:tentative="0">
      <w:start w:val="1"/>
      <w:numFmt w:val="decimal"/>
      <w:lvlText w:val="（%1）"/>
      <w:lvlJc w:val="left"/>
      <w:pPr>
        <w:ind w:left="813" w:hanging="702"/>
        <w:jc w:val="left"/>
      </w:pPr>
      <w:rPr>
        <w:rFonts w:hint="default" w:ascii="仿宋" w:hAnsi="仿宋" w:eastAsia="仿宋" w:cs="仿宋"/>
        <w:spacing w:val="-2"/>
        <w:w w:val="100"/>
        <w:sz w:val="26"/>
        <w:szCs w:val="26"/>
        <w:lang w:val="zh-CN" w:eastAsia="zh-CN" w:bidi="zh-CN"/>
      </w:rPr>
    </w:lvl>
    <w:lvl w:ilvl="1" w:tentative="0">
      <w:start w:val="0"/>
      <w:numFmt w:val="bullet"/>
      <w:lvlText w:val="•"/>
      <w:lvlJc w:val="left"/>
      <w:pPr>
        <w:ind w:left="820" w:hanging="702"/>
      </w:pPr>
      <w:rPr>
        <w:rFonts w:hint="default"/>
        <w:lang w:val="zh-CN" w:eastAsia="zh-CN" w:bidi="zh-CN"/>
      </w:rPr>
    </w:lvl>
    <w:lvl w:ilvl="2" w:tentative="0">
      <w:start w:val="0"/>
      <w:numFmt w:val="bullet"/>
      <w:lvlText w:val="•"/>
      <w:lvlJc w:val="left"/>
      <w:pPr>
        <w:ind w:left="1765" w:hanging="702"/>
      </w:pPr>
      <w:rPr>
        <w:rFonts w:hint="default"/>
        <w:lang w:val="zh-CN" w:eastAsia="zh-CN" w:bidi="zh-CN"/>
      </w:rPr>
    </w:lvl>
    <w:lvl w:ilvl="3" w:tentative="0">
      <w:start w:val="0"/>
      <w:numFmt w:val="bullet"/>
      <w:lvlText w:val="•"/>
      <w:lvlJc w:val="left"/>
      <w:pPr>
        <w:ind w:left="2710" w:hanging="702"/>
      </w:pPr>
      <w:rPr>
        <w:rFonts w:hint="default"/>
        <w:lang w:val="zh-CN" w:eastAsia="zh-CN" w:bidi="zh-CN"/>
      </w:rPr>
    </w:lvl>
    <w:lvl w:ilvl="4" w:tentative="0">
      <w:start w:val="0"/>
      <w:numFmt w:val="bullet"/>
      <w:lvlText w:val="•"/>
      <w:lvlJc w:val="left"/>
      <w:pPr>
        <w:ind w:left="3655" w:hanging="702"/>
      </w:pPr>
      <w:rPr>
        <w:rFonts w:hint="default"/>
        <w:lang w:val="zh-CN" w:eastAsia="zh-CN" w:bidi="zh-CN"/>
      </w:rPr>
    </w:lvl>
    <w:lvl w:ilvl="5" w:tentative="0">
      <w:start w:val="0"/>
      <w:numFmt w:val="bullet"/>
      <w:lvlText w:val="•"/>
      <w:lvlJc w:val="left"/>
      <w:pPr>
        <w:ind w:left="4600" w:hanging="702"/>
      </w:pPr>
      <w:rPr>
        <w:rFonts w:hint="default"/>
        <w:lang w:val="zh-CN" w:eastAsia="zh-CN" w:bidi="zh-CN"/>
      </w:rPr>
    </w:lvl>
    <w:lvl w:ilvl="6" w:tentative="0">
      <w:start w:val="0"/>
      <w:numFmt w:val="bullet"/>
      <w:lvlText w:val="•"/>
      <w:lvlJc w:val="left"/>
      <w:pPr>
        <w:ind w:left="5545" w:hanging="702"/>
      </w:pPr>
      <w:rPr>
        <w:rFonts w:hint="default"/>
        <w:lang w:val="zh-CN" w:eastAsia="zh-CN" w:bidi="zh-CN"/>
      </w:rPr>
    </w:lvl>
    <w:lvl w:ilvl="7" w:tentative="0">
      <w:start w:val="0"/>
      <w:numFmt w:val="bullet"/>
      <w:lvlText w:val="•"/>
      <w:lvlJc w:val="left"/>
      <w:pPr>
        <w:ind w:left="6490" w:hanging="702"/>
      </w:pPr>
      <w:rPr>
        <w:rFonts w:hint="default"/>
        <w:lang w:val="zh-CN" w:eastAsia="zh-CN" w:bidi="zh-CN"/>
      </w:rPr>
    </w:lvl>
    <w:lvl w:ilvl="8" w:tentative="0">
      <w:start w:val="0"/>
      <w:numFmt w:val="bullet"/>
      <w:lvlText w:val="•"/>
      <w:lvlJc w:val="left"/>
      <w:pPr>
        <w:ind w:left="7435" w:hanging="702"/>
      </w:pPr>
      <w:rPr>
        <w:rFonts w:hint="default"/>
        <w:lang w:val="zh-CN" w:eastAsia="zh-CN" w:bidi="zh-CN"/>
      </w:rPr>
    </w:lvl>
  </w:abstractNum>
  <w:abstractNum w:abstractNumId="6">
    <w:nsid w:val="F4B5D9F5"/>
    <w:multiLevelType w:val="multilevel"/>
    <w:tmpl w:val="F4B5D9F5"/>
    <w:lvl w:ilvl="0" w:tentative="0">
      <w:start w:val="7"/>
      <w:numFmt w:val="decimal"/>
      <w:lvlText w:val="%1"/>
      <w:lvlJc w:val="left"/>
      <w:pPr>
        <w:ind w:left="111" w:hanging="562"/>
        <w:jc w:val="left"/>
      </w:pPr>
      <w:rPr>
        <w:rFonts w:hint="default"/>
        <w:lang w:val="zh-CN" w:eastAsia="zh-CN" w:bidi="zh-CN"/>
      </w:rPr>
    </w:lvl>
    <w:lvl w:ilvl="1" w:tentative="0">
      <w:start w:val="36"/>
      <w:numFmt w:val="decimal"/>
      <w:lvlText w:val="%1.%2"/>
      <w:lvlJc w:val="left"/>
      <w:pPr>
        <w:ind w:left="111" w:hanging="562"/>
        <w:jc w:val="left"/>
      </w:pPr>
      <w:rPr>
        <w:rFonts w:hint="default" w:ascii="仿宋" w:hAnsi="仿宋" w:eastAsia="仿宋" w:cs="仿宋"/>
        <w:spacing w:val="-2"/>
        <w:w w:val="100"/>
        <w:sz w:val="26"/>
        <w:szCs w:val="26"/>
        <w:lang w:val="zh-CN" w:eastAsia="zh-CN" w:bidi="zh-CN"/>
      </w:rPr>
    </w:lvl>
    <w:lvl w:ilvl="2" w:tentative="0">
      <w:start w:val="1"/>
      <w:numFmt w:val="decimal"/>
      <w:lvlText w:val="（%3）"/>
      <w:lvlJc w:val="left"/>
      <w:pPr>
        <w:ind w:left="111" w:hanging="702"/>
        <w:jc w:val="left"/>
      </w:pPr>
      <w:rPr>
        <w:rFonts w:hint="default" w:ascii="仿宋" w:hAnsi="仿宋" w:eastAsia="仿宋" w:cs="仿宋"/>
        <w:spacing w:val="-44"/>
        <w:w w:val="100"/>
        <w:sz w:val="26"/>
        <w:szCs w:val="26"/>
        <w:lang w:val="zh-CN" w:eastAsia="zh-CN" w:bidi="zh-CN"/>
      </w:rPr>
    </w:lvl>
    <w:lvl w:ilvl="3" w:tentative="0">
      <w:start w:val="0"/>
      <w:numFmt w:val="bullet"/>
      <w:lvlText w:val="•"/>
      <w:lvlJc w:val="left"/>
      <w:pPr>
        <w:ind w:left="2881" w:hanging="702"/>
      </w:pPr>
      <w:rPr>
        <w:rFonts w:hint="default"/>
        <w:lang w:val="zh-CN" w:eastAsia="zh-CN" w:bidi="zh-CN"/>
      </w:rPr>
    </w:lvl>
    <w:lvl w:ilvl="4" w:tentative="0">
      <w:start w:val="0"/>
      <w:numFmt w:val="bullet"/>
      <w:lvlText w:val="•"/>
      <w:lvlJc w:val="left"/>
      <w:pPr>
        <w:ind w:left="3802" w:hanging="702"/>
      </w:pPr>
      <w:rPr>
        <w:rFonts w:hint="default"/>
        <w:lang w:val="zh-CN" w:eastAsia="zh-CN" w:bidi="zh-CN"/>
      </w:rPr>
    </w:lvl>
    <w:lvl w:ilvl="5" w:tentative="0">
      <w:start w:val="0"/>
      <w:numFmt w:val="bullet"/>
      <w:lvlText w:val="•"/>
      <w:lvlJc w:val="left"/>
      <w:pPr>
        <w:ind w:left="4723" w:hanging="702"/>
      </w:pPr>
      <w:rPr>
        <w:rFonts w:hint="default"/>
        <w:lang w:val="zh-CN" w:eastAsia="zh-CN" w:bidi="zh-CN"/>
      </w:rPr>
    </w:lvl>
    <w:lvl w:ilvl="6" w:tentative="0">
      <w:start w:val="0"/>
      <w:numFmt w:val="bullet"/>
      <w:lvlText w:val="•"/>
      <w:lvlJc w:val="left"/>
      <w:pPr>
        <w:ind w:left="5643" w:hanging="702"/>
      </w:pPr>
      <w:rPr>
        <w:rFonts w:hint="default"/>
        <w:lang w:val="zh-CN" w:eastAsia="zh-CN" w:bidi="zh-CN"/>
      </w:rPr>
    </w:lvl>
    <w:lvl w:ilvl="7" w:tentative="0">
      <w:start w:val="0"/>
      <w:numFmt w:val="bullet"/>
      <w:lvlText w:val="•"/>
      <w:lvlJc w:val="left"/>
      <w:pPr>
        <w:ind w:left="6564" w:hanging="702"/>
      </w:pPr>
      <w:rPr>
        <w:rFonts w:hint="default"/>
        <w:lang w:val="zh-CN" w:eastAsia="zh-CN" w:bidi="zh-CN"/>
      </w:rPr>
    </w:lvl>
    <w:lvl w:ilvl="8" w:tentative="0">
      <w:start w:val="0"/>
      <w:numFmt w:val="bullet"/>
      <w:lvlText w:val="•"/>
      <w:lvlJc w:val="left"/>
      <w:pPr>
        <w:ind w:left="7484" w:hanging="702"/>
      </w:pPr>
      <w:rPr>
        <w:rFonts w:hint="default"/>
        <w:lang w:val="zh-CN" w:eastAsia="zh-CN" w:bidi="zh-CN"/>
      </w:rPr>
    </w:lvl>
  </w:abstractNum>
  <w:abstractNum w:abstractNumId="7">
    <w:nsid w:val="0053208E"/>
    <w:multiLevelType w:val="multilevel"/>
    <w:tmpl w:val="0053208E"/>
    <w:lvl w:ilvl="0" w:tentative="0">
      <w:start w:val="1"/>
      <w:numFmt w:val="decimal"/>
      <w:lvlText w:val="（%1）"/>
      <w:lvlJc w:val="left"/>
      <w:pPr>
        <w:ind w:left="1372" w:hanging="702"/>
        <w:jc w:val="left"/>
      </w:pPr>
      <w:rPr>
        <w:rFonts w:hint="default" w:ascii="仿宋" w:hAnsi="仿宋" w:eastAsia="仿宋" w:cs="仿宋"/>
        <w:spacing w:val="-2"/>
        <w:w w:val="100"/>
        <w:sz w:val="26"/>
        <w:szCs w:val="26"/>
        <w:lang w:val="zh-CN" w:eastAsia="zh-CN" w:bidi="zh-CN"/>
      </w:rPr>
    </w:lvl>
    <w:lvl w:ilvl="1" w:tentative="0">
      <w:start w:val="0"/>
      <w:numFmt w:val="bullet"/>
      <w:lvlText w:val="•"/>
      <w:lvlJc w:val="left"/>
      <w:pPr>
        <w:ind w:left="2174" w:hanging="702"/>
      </w:pPr>
      <w:rPr>
        <w:rFonts w:hint="default"/>
        <w:lang w:val="zh-CN" w:eastAsia="zh-CN" w:bidi="zh-CN"/>
      </w:rPr>
    </w:lvl>
    <w:lvl w:ilvl="2" w:tentative="0">
      <w:start w:val="0"/>
      <w:numFmt w:val="bullet"/>
      <w:lvlText w:val="•"/>
      <w:lvlJc w:val="left"/>
      <w:pPr>
        <w:ind w:left="2969" w:hanging="702"/>
      </w:pPr>
      <w:rPr>
        <w:rFonts w:hint="default"/>
        <w:lang w:val="zh-CN" w:eastAsia="zh-CN" w:bidi="zh-CN"/>
      </w:rPr>
    </w:lvl>
    <w:lvl w:ilvl="3" w:tentative="0">
      <w:start w:val="0"/>
      <w:numFmt w:val="bullet"/>
      <w:lvlText w:val="•"/>
      <w:lvlJc w:val="left"/>
      <w:pPr>
        <w:ind w:left="3763" w:hanging="702"/>
      </w:pPr>
      <w:rPr>
        <w:rFonts w:hint="default"/>
        <w:lang w:val="zh-CN" w:eastAsia="zh-CN" w:bidi="zh-CN"/>
      </w:rPr>
    </w:lvl>
    <w:lvl w:ilvl="4" w:tentative="0">
      <w:start w:val="0"/>
      <w:numFmt w:val="bullet"/>
      <w:lvlText w:val="•"/>
      <w:lvlJc w:val="left"/>
      <w:pPr>
        <w:ind w:left="4558" w:hanging="702"/>
      </w:pPr>
      <w:rPr>
        <w:rFonts w:hint="default"/>
        <w:lang w:val="zh-CN" w:eastAsia="zh-CN" w:bidi="zh-CN"/>
      </w:rPr>
    </w:lvl>
    <w:lvl w:ilvl="5" w:tentative="0">
      <w:start w:val="0"/>
      <w:numFmt w:val="bullet"/>
      <w:lvlText w:val="•"/>
      <w:lvlJc w:val="left"/>
      <w:pPr>
        <w:ind w:left="5353" w:hanging="702"/>
      </w:pPr>
      <w:rPr>
        <w:rFonts w:hint="default"/>
        <w:lang w:val="zh-CN" w:eastAsia="zh-CN" w:bidi="zh-CN"/>
      </w:rPr>
    </w:lvl>
    <w:lvl w:ilvl="6" w:tentative="0">
      <w:start w:val="0"/>
      <w:numFmt w:val="bullet"/>
      <w:lvlText w:val="•"/>
      <w:lvlJc w:val="left"/>
      <w:pPr>
        <w:ind w:left="6147" w:hanging="702"/>
      </w:pPr>
      <w:rPr>
        <w:rFonts w:hint="default"/>
        <w:lang w:val="zh-CN" w:eastAsia="zh-CN" w:bidi="zh-CN"/>
      </w:rPr>
    </w:lvl>
    <w:lvl w:ilvl="7" w:tentative="0">
      <w:start w:val="0"/>
      <w:numFmt w:val="bullet"/>
      <w:lvlText w:val="•"/>
      <w:lvlJc w:val="left"/>
      <w:pPr>
        <w:ind w:left="6942" w:hanging="702"/>
      </w:pPr>
      <w:rPr>
        <w:rFonts w:hint="default"/>
        <w:lang w:val="zh-CN" w:eastAsia="zh-CN" w:bidi="zh-CN"/>
      </w:rPr>
    </w:lvl>
    <w:lvl w:ilvl="8" w:tentative="0">
      <w:start w:val="0"/>
      <w:numFmt w:val="bullet"/>
      <w:lvlText w:val="•"/>
      <w:lvlJc w:val="left"/>
      <w:pPr>
        <w:ind w:left="7736" w:hanging="702"/>
      </w:pPr>
      <w:rPr>
        <w:rFonts w:hint="default"/>
        <w:lang w:val="zh-CN" w:eastAsia="zh-CN" w:bidi="zh-CN"/>
      </w:rPr>
    </w:lvl>
  </w:abstractNum>
  <w:abstractNum w:abstractNumId="8">
    <w:nsid w:val="0248C179"/>
    <w:multiLevelType w:val="multilevel"/>
    <w:tmpl w:val="0248C179"/>
    <w:lvl w:ilvl="0" w:tentative="0">
      <w:start w:val="1"/>
      <w:numFmt w:val="decimal"/>
      <w:lvlText w:val="%1）"/>
      <w:lvlJc w:val="left"/>
      <w:pPr>
        <w:ind w:left="1094" w:hanging="424"/>
        <w:jc w:val="left"/>
      </w:pPr>
      <w:rPr>
        <w:rFonts w:hint="default" w:ascii="仿宋" w:hAnsi="仿宋" w:eastAsia="仿宋" w:cs="仿宋"/>
        <w:spacing w:val="-1"/>
        <w:w w:val="100"/>
        <w:sz w:val="26"/>
        <w:szCs w:val="26"/>
        <w:lang w:val="zh-CN" w:eastAsia="zh-CN" w:bidi="zh-CN"/>
      </w:rPr>
    </w:lvl>
    <w:lvl w:ilvl="1" w:tentative="0">
      <w:start w:val="0"/>
      <w:numFmt w:val="bullet"/>
      <w:lvlText w:val="•"/>
      <w:lvlJc w:val="left"/>
      <w:pPr>
        <w:ind w:left="1922" w:hanging="424"/>
      </w:pPr>
      <w:rPr>
        <w:rFonts w:hint="default"/>
        <w:lang w:val="zh-CN" w:eastAsia="zh-CN" w:bidi="zh-CN"/>
      </w:rPr>
    </w:lvl>
    <w:lvl w:ilvl="2" w:tentative="0">
      <w:start w:val="0"/>
      <w:numFmt w:val="bullet"/>
      <w:lvlText w:val="•"/>
      <w:lvlJc w:val="left"/>
      <w:pPr>
        <w:ind w:left="2745" w:hanging="424"/>
      </w:pPr>
      <w:rPr>
        <w:rFonts w:hint="default"/>
        <w:lang w:val="zh-CN" w:eastAsia="zh-CN" w:bidi="zh-CN"/>
      </w:rPr>
    </w:lvl>
    <w:lvl w:ilvl="3" w:tentative="0">
      <w:start w:val="0"/>
      <w:numFmt w:val="bullet"/>
      <w:lvlText w:val="•"/>
      <w:lvlJc w:val="left"/>
      <w:pPr>
        <w:ind w:left="3567" w:hanging="424"/>
      </w:pPr>
      <w:rPr>
        <w:rFonts w:hint="default"/>
        <w:lang w:val="zh-CN" w:eastAsia="zh-CN" w:bidi="zh-CN"/>
      </w:rPr>
    </w:lvl>
    <w:lvl w:ilvl="4" w:tentative="0">
      <w:start w:val="0"/>
      <w:numFmt w:val="bullet"/>
      <w:lvlText w:val="•"/>
      <w:lvlJc w:val="left"/>
      <w:pPr>
        <w:ind w:left="4390" w:hanging="424"/>
      </w:pPr>
      <w:rPr>
        <w:rFonts w:hint="default"/>
        <w:lang w:val="zh-CN" w:eastAsia="zh-CN" w:bidi="zh-CN"/>
      </w:rPr>
    </w:lvl>
    <w:lvl w:ilvl="5" w:tentative="0">
      <w:start w:val="0"/>
      <w:numFmt w:val="bullet"/>
      <w:lvlText w:val="•"/>
      <w:lvlJc w:val="left"/>
      <w:pPr>
        <w:ind w:left="5213" w:hanging="424"/>
      </w:pPr>
      <w:rPr>
        <w:rFonts w:hint="default"/>
        <w:lang w:val="zh-CN" w:eastAsia="zh-CN" w:bidi="zh-CN"/>
      </w:rPr>
    </w:lvl>
    <w:lvl w:ilvl="6" w:tentative="0">
      <w:start w:val="0"/>
      <w:numFmt w:val="bullet"/>
      <w:lvlText w:val="•"/>
      <w:lvlJc w:val="left"/>
      <w:pPr>
        <w:ind w:left="6035" w:hanging="424"/>
      </w:pPr>
      <w:rPr>
        <w:rFonts w:hint="default"/>
        <w:lang w:val="zh-CN" w:eastAsia="zh-CN" w:bidi="zh-CN"/>
      </w:rPr>
    </w:lvl>
    <w:lvl w:ilvl="7" w:tentative="0">
      <w:start w:val="0"/>
      <w:numFmt w:val="bullet"/>
      <w:lvlText w:val="•"/>
      <w:lvlJc w:val="left"/>
      <w:pPr>
        <w:ind w:left="6858" w:hanging="424"/>
      </w:pPr>
      <w:rPr>
        <w:rFonts w:hint="default"/>
        <w:lang w:val="zh-CN" w:eastAsia="zh-CN" w:bidi="zh-CN"/>
      </w:rPr>
    </w:lvl>
    <w:lvl w:ilvl="8" w:tentative="0">
      <w:start w:val="0"/>
      <w:numFmt w:val="bullet"/>
      <w:lvlText w:val="•"/>
      <w:lvlJc w:val="left"/>
      <w:pPr>
        <w:ind w:left="7680" w:hanging="424"/>
      </w:pPr>
      <w:rPr>
        <w:rFonts w:hint="default"/>
        <w:lang w:val="zh-CN" w:eastAsia="zh-CN" w:bidi="zh-CN"/>
      </w:rPr>
    </w:lvl>
  </w:abstractNum>
  <w:abstractNum w:abstractNumId="9">
    <w:nsid w:val="03D62ECE"/>
    <w:multiLevelType w:val="multilevel"/>
    <w:tmpl w:val="03D62ECE"/>
    <w:lvl w:ilvl="0" w:tentative="0">
      <w:start w:val="1"/>
      <w:numFmt w:val="decimal"/>
      <w:lvlText w:val="（%1）"/>
      <w:lvlJc w:val="left"/>
      <w:pPr>
        <w:ind w:left="1370" w:hanging="702"/>
        <w:jc w:val="left"/>
      </w:pPr>
      <w:rPr>
        <w:rFonts w:hint="default" w:ascii="仿宋" w:hAnsi="仿宋" w:eastAsia="仿宋" w:cs="仿宋"/>
        <w:spacing w:val="-3"/>
        <w:w w:val="100"/>
        <w:sz w:val="26"/>
        <w:szCs w:val="26"/>
        <w:lang w:val="zh-CN" w:eastAsia="zh-CN" w:bidi="zh-CN"/>
      </w:rPr>
    </w:lvl>
    <w:lvl w:ilvl="1" w:tentative="0">
      <w:start w:val="0"/>
      <w:numFmt w:val="bullet"/>
      <w:lvlText w:val="•"/>
      <w:lvlJc w:val="left"/>
      <w:pPr>
        <w:ind w:left="2174" w:hanging="702"/>
      </w:pPr>
      <w:rPr>
        <w:rFonts w:hint="default"/>
        <w:lang w:val="zh-CN" w:eastAsia="zh-CN" w:bidi="zh-CN"/>
      </w:rPr>
    </w:lvl>
    <w:lvl w:ilvl="2" w:tentative="0">
      <w:start w:val="0"/>
      <w:numFmt w:val="bullet"/>
      <w:lvlText w:val="•"/>
      <w:lvlJc w:val="left"/>
      <w:pPr>
        <w:ind w:left="2969" w:hanging="702"/>
      </w:pPr>
      <w:rPr>
        <w:rFonts w:hint="default"/>
        <w:lang w:val="zh-CN" w:eastAsia="zh-CN" w:bidi="zh-CN"/>
      </w:rPr>
    </w:lvl>
    <w:lvl w:ilvl="3" w:tentative="0">
      <w:start w:val="0"/>
      <w:numFmt w:val="bullet"/>
      <w:lvlText w:val="•"/>
      <w:lvlJc w:val="left"/>
      <w:pPr>
        <w:ind w:left="3763" w:hanging="702"/>
      </w:pPr>
      <w:rPr>
        <w:rFonts w:hint="default"/>
        <w:lang w:val="zh-CN" w:eastAsia="zh-CN" w:bidi="zh-CN"/>
      </w:rPr>
    </w:lvl>
    <w:lvl w:ilvl="4" w:tentative="0">
      <w:start w:val="0"/>
      <w:numFmt w:val="bullet"/>
      <w:lvlText w:val="•"/>
      <w:lvlJc w:val="left"/>
      <w:pPr>
        <w:ind w:left="4558" w:hanging="702"/>
      </w:pPr>
      <w:rPr>
        <w:rFonts w:hint="default"/>
        <w:lang w:val="zh-CN" w:eastAsia="zh-CN" w:bidi="zh-CN"/>
      </w:rPr>
    </w:lvl>
    <w:lvl w:ilvl="5" w:tentative="0">
      <w:start w:val="0"/>
      <w:numFmt w:val="bullet"/>
      <w:lvlText w:val="•"/>
      <w:lvlJc w:val="left"/>
      <w:pPr>
        <w:ind w:left="5353" w:hanging="702"/>
      </w:pPr>
      <w:rPr>
        <w:rFonts w:hint="default"/>
        <w:lang w:val="zh-CN" w:eastAsia="zh-CN" w:bidi="zh-CN"/>
      </w:rPr>
    </w:lvl>
    <w:lvl w:ilvl="6" w:tentative="0">
      <w:start w:val="0"/>
      <w:numFmt w:val="bullet"/>
      <w:lvlText w:val="•"/>
      <w:lvlJc w:val="left"/>
      <w:pPr>
        <w:ind w:left="6147" w:hanging="702"/>
      </w:pPr>
      <w:rPr>
        <w:rFonts w:hint="default"/>
        <w:lang w:val="zh-CN" w:eastAsia="zh-CN" w:bidi="zh-CN"/>
      </w:rPr>
    </w:lvl>
    <w:lvl w:ilvl="7" w:tentative="0">
      <w:start w:val="0"/>
      <w:numFmt w:val="bullet"/>
      <w:lvlText w:val="•"/>
      <w:lvlJc w:val="left"/>
      <w:pPr>
        <w:ind w:left="6942" w:hanging="702"/>
      </w:pPr>
      <w:rPr>
        <w:rFonts w:hint="default"/>
        <w:lang w:val="zh-CN" w:eastAsia="zh-CN" w:bidi="zh-CN"/>
      </w:rPr>
    </w:lvl>
    <w:lvl w:ilvl="8" w:tentative="0">
      <w:start w:val="0"/>
      <w:numFmt w:val="bullet"/>
      <w:lvlText w:val="•"/>
      <w:lvlJc w:val="left"/>
      <w:pPr>
        <w:ind w:left="7736" w:hanging="702"/>
      </w:pPr>
      <w:rPr>
        <w:rFonts w:hint="default"/>
        <w:lang w:val="zh-CN" w:eastAsia="zh-CN" w:bidi="zh-CN"/>
      </w:rPr>
    </w:lvl>
  </w:abstractNum>
  <w:abstractNum w:abstractNumId="10">
    <w:nsid w:val="2470EC97"/>
    <w:multiLevelType w:val="multilevel"/>
    <w:tmpl w:val="2470EC97"/>
    <w:lvl w:ilvl="0" w:tentative="0">
      <w:start w:val="1"/>
      <w:numFmt w:val="decimal"/>
      <w:lvlText w:val="（%1）"/>
      <w:lvlJc w:val="left"/>
      <w:pPr>
        <w:ind w:left="813" w:hanging="702"/>
        <w:jc w:val="left"/>
      </w:pPr>
      <w:rPr>
        <w:rFonts w:hint="default" w:ascii="仿宋" w:hAnsi="仿宋" w:eastAsia="仿宋" w:cs="仿宋"/>
        <w:spacing w:val="-2"/>
        <w:w w:val="100"/>
        <w:sz w:val="26"/>
        <w:szCs w:val="26"/>
        <w:lang w:val="zh-CN" w:eastAsia="zh-CN" w:bidi="zh-CN"/>
      </w:rPr>
    </w:lvl>
    <w:lvl w:ilvl="1" w:tentative="0">
      <w:start w:val="0"/>
      <w:numFmt w:val="bullet"/>
      <w:lvlText w:val="•"/>
      <w:lvlJc w:val="left"/>
      <w:pPr>
        <w:ind w:left="1670" w:hanging="702"/>
      </w:pPr>
      <w:rPr>
        <w:rFonts w:hint="default"/>
        <w:lang w:val="zh-CN" w:eastAsia="zh-CN" w:bidi="zh-CN"/>
      </w:rPr>
    </w:lvl>
    <w:lvl w:ilvl="2" w:tentative="0">
      <w:start w:val="0"/>
      <w:numFmt w:val="bullet"/>
      <w:lvlText w:val="•"/>
      <w:lvlJc w:val="left"/>
      <w:pPr>
        <w:ind w:left="2521" w:hanging="702"/>
      </w:pPr>
      <w:rPr>
        <w:rFonts w:hint="default"/>
        <w:lang w:val="zh-CN" w:eastAsia="zh-CN" w:bidi="zh-CN"/>
      </w:rPr>
    </w:lvl>
    <w:lvl w:ilvl="3" w:tentative="0">
      <w:start w:val="0"/>
      <w:numFmt w:val="bullet"/>
      <w:lvlText w:val="•"/>
      <w:lvlJc w:val="left"/>
      <w:pPr>
        <w:ind w:left="3371" w:hanging="702"/>
      </w:pPr>
      <w:rPr>
        <w:rFonts w:hint="default"/>
        <w:lang w:val="zh-CN" w:eastAsia="zh-CN" w:bidi="zh-CN"/>
      </w:rPr>
    </w:lvl>
    <w:lvl w:ilvl="4" w:tentative="0">
      <w:start w:val="0"/>
      <w:numFmt w:val="bullet"/>
      <w:lvlText w:val="•"/>
      <w:lvlJc w:val="left"/>
      <w:pPr>
        <w:ind w:left="4222" w:hanging="702"/>
      </w:pPr>
      <w:rPr>
        <w:rFonts w:hint="default"/>
        <w:lang w:val="zh-CN" w:eastAsia="zh-CN" w:bidi="zh-CN"/>
      </w:rPr>
    </w:lvl>
    <w:lvl w:ilvl="5" w:tentative="0">
      <w:start w:val="0"/>
      <w:numFmt w:val="bullet"/>
      <w:lvlText w:val="•"/>
      <w:lvlJc w:val="left"/>
      <w:pPr>
        <w:ind w:left="5073" w:hanging="702"/>
      </w:pPr>
      <w:rPr>
        <w:rFonts w:hint="default"/>
        <w:lang w:val="zh-CN" w:eastAsia="zh-CN" w:bidi="zh-CN"/>
      </w:rPr>
    </w:lvl>
    <w:lvl w:ilvl="6" w:tentative="0">
      <w:start w:val="0"/>
      <w:numFmt w:val="bullet"/>
      <w:lvlText w:val="•"/>
      <w:lvlJc w:val="left"/>
      <w:pPr>
        <w:ind w:left="5923" w:hanging="702"/>
      </w:pPr>
      <w:rPr>
        <w:rFonts w:hint="default"/>
        <w:lang w:val="zh-CN" w:eastAsia="zh-CN" w:bidi="zh-CN"/>
      </w:rPr>
    </w:lvl>
    <w:lvl w:ilvl="7" w:tentative="0">
      <w:start w:val="0"/>
      <w:numFmt w:val="bullet"/>
      <w:lvlText w:val="•"/>
      <w:lvlJc w:val="left"/>
      <w:pPr>
        <w:ind w:left="6774" w:hanging="702"/>
      </w:pPr>
      <w:rPr>
        <w:rFonts w:hint="default"/>
        <w:lang w:val="zh-CN" w:eastAsia="zh-CN" w:bidi="zh-CN"/>
      </w:rPr>
    </w:lvl>
    <w:lvl w:ilvl="8" w:tentative="0">
      <w:start w:val="0"/>
      <w:numFmt w:val="bullet"/>
      <w:lvlText w:val="•"/>
      <w:lvlJc w:val="left"/>
      <w:pPr>
        <w:ind w:left="7624" w:hanging="702"/>
      </w:pPr>
      <w:rPr>
        <w:rFonts w:hint="default"/>
        <w:lang w:val="zh-CN" w:eastAsia="zh-CN" w:bidi="zh-CN"/>
      </w:rPr>
    </w:lvl>
  </w:abstractNum>
  <w:abstractNum w:abstractNumId="11">
    <w:nsid w:val="25B654F3"/>
    <w:multiLevelType w:val="multilevel"/>
    <w:tmpl w:val="25B654F3"/>
    <w:lvl w:ilvl="0" w:tentative="0">
      <w:start w:val="1"/>
      <w:numFmt w:val="decimal"/>
      <w:lvlText w:val="（%1）"/>
      <w:lvlJc w:val="left"/>
      <w:pPr>
        <w:ind w:left="1372" w:hanging="702"/>
        <w:jc w:val="left"/>
      </w:pPr>
      <w:rPr>
        <w:rFonts w:hint="default" w:ascii="仿宋" w:hAnsi="仿宋" w:eastAsia="仿宋" w:cs="仿宋"/>
        <w:spacing w:val="-2"/>
        <w:w w:val="100"/>
        <w:sz w:val="26"/>
        <w:szCs w:val="26"/>
        <w:lang w:val="zh-CN" w:eastAsia="zh-CN" w:bidi="zh-CN"/>
      </w:rPr>
    </w:lvl>
    <w:lvl w:ilvl="1" w:tentative="0">
      <w:start w:val="0"/>
      <w:numFmt w:val="bullet"/>
      <w:lvlText w:val="•"/>
      <w:lvlJc w:val="left"/>
      <w:pPr>
        <w:ind w:left="2174" w:hanging="702"/>
      </w:pPr>
      <w:rPr>
        <w:rFonts w:hint="default"/>
        <w:lang w:val="zh-CN" w:eastAsia="zh-CN" w:bidi="zh-CN"/>
      </w:rPr>
    </w:lvl>
    <w:lvl w:ilvl="2" w:tentative="0">
      <w:start w:val="0"/>
      <w:numFmt w:val="bullet"/>
      <w:lvlText w:val="•"/>
      <w:lvlJc w:val="left"/>
      <w:pPr>
        <w:ind w:left="2969" w:hanging="702"/>
      </w:pPr>
      <w:rPr>
        <w:rFonts w:hint="default"/>
        <w:lang w:val="zh-CN" w:eastAsia="zh-CN" w:bidi="zh-CN"/>
      </w:rPr>
    </w:lvl>
    <w:lvl w:ilvl="3" w:tentative="0">
      <w:start w:val="0"/>
      <w:numFmt w:val="bullet"/>
      <w:lvlText w:val="•"/>
      <w:lvlJc w:val="left"/>
      <w:pPr>
        <w:ind w:left="3763" w:hanging="702"/>
      </w:pPr>
      <w:rPr>
        <w:rFonts w:hint="default"/>
        <w:lang w:val="zh-CN" w:eastAsia="zh-CN" w:bidi="zh-CN"/>
      </w:rPr>
    </w:lvl>
    <w:lvl w:ilvl="4" w:tentative="0">
      <w:start w:val="0"/>
      <w:numFmt w:val="bullet"/>
      <w:lvlText w:val="•"/>
      <w:lvlJc w:val="left"/>
      <w:pPr>
        <w:ind w:left="4558" w:hanging="702"/>
      </w:pPr>
      <w:rPr>
        <w:rFonts w:hint="default"/>
        <w:lang w:val="zh-CN" w:eastAsia="zh-CN" w:bidi="zh-CN"/>
      </w:rPr>
    </w:lvl>
    <w:lvl w:ilvl="5" w:tentative="0">
      <w:start w:val="0"/>
      <w:numFmt w:val="bullet"/>
      <w:lvlText w:val="•"/>
      <w:lvlJc w:val="left"/>
      <w:pPr>
        <w:ind w:left="5353" w:hanging="702"/>
      </w:pPr>
      <w:rPr>
        <w:rFonts w:hint="default"/>
        <w:lang w:val="zh-CN" w:eastAsia="zh-CN" w:bidi="zh-CN"/>
      </w:rPr>
    </w:lvl>
    <w:lvl w:ilvl="6" w:tentative="0">
      <w:start w:val="0"/>
      <w:numFmt w:val="bullet"/>
      <w:lvlText w:val="•"/>
      <w:lvlJc w:val="left"/>
      <w:pPr>
        <w:ind w:left="6147" w:hanging="702"/>
      </w:pPr>
      <w:rPr>
        <w:rFonts w:hint="default"/>
        <w:lang w:val="zh-CN" w:eastAsia="zh-CN" w:bidi="zh-CN"/>
      </w:rPr>
    </w:lvl>
    <w:lvl w:ilvl="7" w:tentative="0">
      <w:start w:val="0"/>
      <w:numFmt w:val="bullet"/>
      <w:lvlText w:val="•"/>
      <w:lvlJc w:val="left"/>
      <w:pPr>
        <w:ind w:left="6942" w:hanging="702"/>
      </w:pPr>
      <w:rPr>
        <w:rFonts w:hint="default"/>
        <w:lang w:val="zh-CN" w:eastAsia="zh-CN" w:bidi="zh-CN"/>
      </w:rPr>
    </w:lvl>
    <w:lvl w:ilvl="8" w:tentative="0">
      <w:start w:val="0"/>
      <w:numFmt w:val="bullet"/>
      <w:lvlText w:val="•"/>
      <w:lvlJc w:val="left"/>
      <w:pPr>
        <w:ind w:left="7736" w:hanging="702"/>
      </w:pPr>
      <w:rPr>
        <w:rFonts w:hint="default"/>
        <w:lang w:val="zh-CN" w:eastAsia="zh-CN" w:bidi="zh-CN"/>
      </w:rPr>
    </w:lvl>
  </w:abstractNum>
  <w:abstractNum w:abstractNumId="12">
    <w:nsid w:val="2A8F537B"/>
    <w:multiLevelType w:val="multilevel"/>
    <w:tmpl w:val="2A8F537B"/>
    <w:lvl w:ilvl="0" w:tentative="0">
      <w:start w:val="1"/>
      <w:numFmt w:val="decimal"/>
      <w:lvlText w:val="（%1）"/>
      <w:lvlJc w:val="left"/>
      <w:pPr>
        <w:ind w:left="111" w:hanging="702"/>
        <w:jc w:val="left"/>
      </w:pPr>
      <w:rPr>
        <w:rFonts w:hint="default" w:ascii="仿宋" w:hAnsi="仿宋" w:eastAsia="仿宋" w:cs="仿宋"/>
        <w:spacing w:val="-44"/>
        <w:w w:val="100"/>
        <w:sz w:val="26"/>
        <w:szCs w:val="26"/>
        <w:lang w:val="zh-CN" w:eastAsia="zh-CN" w:bidi="zh-CN"/>
      </w:rPr>
    </w:lvl>
    <w:lvl w:ilvl="1" w:tentative="0">
      <w:start w:val="0"/>
      <w:numFmt w:val="bullet"/>
      <w:lvlText w:val="•"/>
      <w:lvlJc w:val="left"/>
      <w:pPr>
        <w:ind w:left="1040" w:hanging="702"/>
      </w:pPr>
      <w:rPr>
        <w:rFonts w:hint="default"/>
        <w:lang w:val="zh-CN" w:eastAsia="zh-CN" w:bidi="zh-CN"/>
      </w:rPr>
    </w:lvl>
    <w:lvl w:ilvl="2" w:tentative="0">
      <w:start w:val="0"/>
      <w:numFmt w:val="bullet"/>
      <w:lvlText w:val="•"/>
      <w:lvlJc w:val="left"/>
      <w:pPr>
        <w:ind w:left="1961" w:hanging="702"/>
      </w:pPr>
      <w:rPr>
        <w:rFonts w:hint="default"/>
        <w:lang w:val="zh-CN" w:eastAsia="zh-CN" w:bidi="zh-CN"/>
      </w:rPr>
    </w:lvl>
    <w:lvl w:ilvl="3" w:tentative="0">
      <w:start w:val="0"/>
      <w:numFmt w:val="bullet"/>
      <w:lvlText w:val="•"/>
      <w:lvlJc w:val="left"/>
      <w:pPr>
        <w:ind w:left="2881" w:hanging="702"/>
      </w:pPr>
      <w:rPr>
        <w:rFonts w:hint="default"/>
        <w:lang w:val="zh-CN" w:eastAsia="zh-CN" w:bidi="zh-CN"/>
      </w:rPr>
    </w:lvl>
    <w:lvl w:ilvl="4" w:tentative="0">
      <w:start w:val="0"/>
      <w:numFmt w:val="bullet"/>
      <w:lvlText w:val="•"/>
      <w:lvlJc w:val="left"/>
      <w:pPr>
        <w:ind w:left="3802" w:hanging="702"/>
      </w:pPr>
      <w:rPr>
        <w:rFonts w:hint="default"/>
        <w:lang w:val="zh-CN" w:eastAsia="zh-CN" w:bidi="zh-CN"/>
      </w:rPr>
    </w:lvl>
    <w:lvl w:ilvl="5" w:tentative="0">
      <w:start w:val="0"/>
      <w:numFmt w:val="bullet"/>
      <w:lvlText w:val="•"/>
      <w:lvlJc w:val="left"/>
      <w:pPr>
        <w:ind w:left="4723" w:hanging="702"/>
      </w:pPr>
      <w:rPr>
        <w:rFonts w:hint="default"/>
        <w:lang w:val="zh-CN" w:eastAsia="zh-CN" w:bidi="zh-CN"/>
      </w:rPr>
    </w:lvl>
    <w:lvl w:ilvl="6" w:tentative="0">
      <w:start w:val="0"/>
      <w:numFmt w:val="bullet"/>
      <w:lvlText w:val="•"/>
      <w:lvlJc w:val="left"/>
      <w:pPr>
        <w:ind w:left="5643" w:hanging="702"/>
      </w:pPr>
      <w:rPr>
        <w:rFonts w:hint="default"/>
        <w:lang w:val="zh-CN" w:eastAsia="zh-CN" w:bidi="zh-CN"/>
      </w:rPr>
    </w:lvl>
    <w:lvl w:ilvl="7" w:tentative="0">
      <w:start w:val="0"/>
      <w:numFmt w:val="bullet"/>
      <w:lvlText w:val="•"/>
      <w:lvlJc w:val="left"/>
      <w:pPr>
        <w:ind w:left="6564" w:hanging="702"/>
      </w:pPr>
      <w:rPr>
        <w:rFonts w:hint="default"/>
        <w:lang w:val="zh-CN" w:eastAsia="zh-CN" w:bidi="zh-CN"/>
      </w:rPr>
    </w:lvl>
    <w:lvl w:ilvl="8" w:tentative="0">
      <w:start w:val="0"/>
      <w:numFmt w:val="bullet"/>
      <w:lvlText w:val="•"/>
      <w:lvlJc w:val="left"/>
      <w:pPr>
        <w:ind w:left="7484" w:hanging="702"/>
      </w:pPr>
      <w:rPr>
        <w:rFonts w:hint="default"/>
        <w:lang w:val="zh-CN" w:eastAsia="zh-CN" w:bidi="zh-CN"/>
      </w:rPr>
    </w:lvl>
  </w:abstractNum>
  <w:abstractNum w:abstractNumId="13">
    <w:nsid w:val="4D4DC07F"/>
    <w:multiLevelType w:val="multilevel"/>
    <w:tmpl w:val="4D4DC07F"/>
    <w:lvl w:ilvl="0" w:tentative="0">
      <w:start w:val="1"/>
      <w:numFmt w:val="decimal"/>
      <w:lvlText w:val="（%1）"/>
      <w:lvlJc w:val="left"/>
      <w:pPr>
        <w:ind w:left="1372" w:hanging="702"/>
        <w:jc w:val="left"/>
      </w:pPr>
      <w:rPr>
        <w:rFonts w:hint="default" w:ascii="仿宋" w:hAnsi="仿宋" w:eastAsia="仿宋" w:cs="仿宋"/>
        <w:spacing w:val="-2"/>
        <w:w w:val="100"/>
        <w:sz w:val="26"/>
        <w:szCs w:val="26"/>
        <w:lang w:val="zh-CN" w:eastAsia="zh-CN" w:bidi="zh-CN"/>
      </w:rPr>
    </w:lvl>
    <w:lvl w:ilvl="1" w:tentative="0">
      <w:start w:val="0"/>
      <w:numFmt w:val="bullet"/>
      <w:lvlText w:val="•"/>
      <w:lvlJc w:val="left"/>
      <w:pPr>
        <w:ind w:left="2174" w:hanging="702"/>
      </w:pPr>
      <w:rPr>
        <w:rFonts w:hint="default"/>
        <w:lang w:val="zh-CN" w:eastAsia="zh-CN" w:bidi="zh-CN"/>
      </w:rPr>
    </w:lvl>
    <w:lvl w:ilvl="2" w:tentative="0">
      <w:start w:val="0"/>
      <w:numFmt w:val="bullet"/>
      <w:lvlText w:val="•"/>
      <w:lvlJc w:val="left"/>
      <w:pPr>
        <w:ind w:left="2969" w:hanging="702"/>
      </w:pPr>
      <w:rPr>
        <w:rFonts w:hint="default"/>
        <w:lang w:val="zh-CN" w:eastAsia="zh-CN" w:bidi="zh-CN"/>
      </w:rPr>
    </w:lvl>
    <w:lvl w:ilvl="3" w:tentative="0">
      <w:start w:val="0"/>
      <w:numFmt w:val="bullet"/>
      <w:lvlText w:val="•"/>
      <w:lvlJc w:val="left"/>
      <w:pPr>
        <w:ind w:left="3763" w:hanging="702"/>
      </w:pPr>
      <w:rPr>
        <w:rFonts w:hint="default"/>
        <w:lang w:val="zh-CN" w:eastAsia="zh-CN" w:bidi="zh-CN"/>
      </w:rPr>
    </w:lvl>
    <w:lvl w:ilvl="4" w:tentative="0">
      <w:start w:val="0"/>
      <w:numFmt w:val="bullet"/>
      <w:lvlText w:val="•"/>
      <w:lvlJc w:val="left"/>
      <w:pPr>
        <w:ind w:left="4558" w:hanging="702"/>
      </w:pPr>
      <w:rPr>
        <w:rFonts w:hint="default"/>
        <w:lang w:val="zh-CN" w:eastAsia="zh-CN" w:bidi="zh-CN"/>
      </w:rPr>
    </w:lvl>
    <w:lvl w:ilvl="5" w:tentative="0">
      <w:start w:val="0"/>
      <w:numFmt w:val="bullet"/>
      <w:lvlText w:val="•"/>
      <w:lvlJc w:val="left"/>
      <w:pPr>
        <w:ind w:left="5353" w:hanging="702"/>
      </w:pPr>
      <w:rPr>
        <w:rFonts w:hint="default"/>
        <w:lang w:val="zh-CN" w:eastAsia="zh-CN" w:bidi="zh-CN"/>
      </w:rPr>
    </w:lvl>
    <w:lvl w:ilvl="6" w:tentative="0">
      <w:start w:val="0"/>
      <w:numFmt w:val="bullet"/>
      <w:lvlText w:val="•"/>
      <w:lvlJc w:val="left"/>
      <w:pPr>
        <w:ind w:left="6147" w:hanging="702"/>
      </w:pPr>
      <w:rPr>
        <w:rFonts w:hint="default"/>
        <w:lang w:val="zh-CN" w:eastAsia="zh-CN" w:bidi="zh-CN"/>
      </w:rPr>
    </w:lvl>
    <w:lvl w:ilvl="7" w:tentative="0">
      <w:start w:val="0"/>
      <w:numFmt w:val="bullet"/>
      <w:lvlText w:val="•"/>
      <w:lvlJc w:val="left"/>
      <w:pPr>
        <w:ind w:left="6942" w:hanging="702"/>
      </w:pPr>
      <w:rPr>
        <w:rFonts w:hint="default"/>
        <w:lang w:val="zh-CN" w:eastAsia="zh-CN" w:bidi="zh-CN"/>
      </w:rPr>
    </w:lvl>
    <w:lvl w:ilvl="8" w:tentative="0">
      <w:start w:val="0"/>
      <w:numFmt w:val="bullet"/>
      <w:lvlText w:val="•"/>
      <w:lvlJc w:val="left"/>
      <w:pPr>
        <w:ind w:left="7736" w:hanging="702"/>
      </w:pPr>
      <w:rPr>
        <w:rFonts w:hint="default"/>
        <w:lang w:val="zh-CN" w:eastAsia="zh-CN" w:bidi="zh-CN"/>
      </w:rPr>
    </w:lvl>
  </w:abstractNum>
  <w:abstractNum w:abstractNumId="14">
    <w:nsid w:val="59ADCABA"/>
    <w:multiLevelType w:val="multilevel"/>
    <w:tmpl w:val="59ADCABA"/>
    <w:lvl w:ilvl="0" w:tentative="0">
      <w:start w:val="1"/>
      <w:numFmt w:val="decimal"/>
      <w:lvlText w:val="（%1）"/>
      <w:lvlJc w:val="left"/>
      <w:pPr>
        <w:ind w:left="1372" w:hanging="702"/>
        <w:jc w:val="left"/>
      </w:pPr>
      <w:rPr>
        <w:rFonts w:hint="default" w:ascii="仿宋" w:hAnsi="仿宋" w:eastAsia="仿宋" w:cs="仿宋"/>
        <w:spacing w:val="-2"/>
        <w:w w:val="100"/>
        <w:sz w:val="26"/>
        <w:szCs w:val="26"/>
        <w:lang w:val="zh-CN" w:eastAsia="zh-CN" w:bidi="zh-CN"/>
      </w:rPr>
    </w:lvl>
    <w:lvl w:ilvl="1" w:tentative="0">
      <w:start w:val="0"/>
      <w:numFmt w:val="bullet"/>
      <w:lvlText w:val="•"/>
      <w:lvlJc w:val="left"/>
      <w:pPr>
        <w:ind w:left="2174" w:hanging="702"/>
      </w:pPr>
      <w:rPr>
        <w:rFonts w:hint="default"/>
        <w:lang w:val="zh-CN" w:eastAsia="zh-CN" w:bidi="zh-CN"/>
      </w:rPr>
    </w:lvl>
    <w:lvl w:ilvl="2" w:tentative="0">
      <w:start w:val="0"/>
      <w:numFmt w:val="bullet"/>
      <w:lvlText w:val="•"/>
      <w:lvlJc w:val="left"/>
      <w:pPr>
        <w:ind w:left="2969" w:hanging="702"/>
      </w:pPr>
      <w:rPr>
        <w:rFonts w:hint="default"/>
        <w:lang w:val="zh-CN" w:eastAsia="zh-CN" w:bidi="zh-CN"/>
      </w:rPr>
    </w:lvl>
    <w:lvl w:ilvl="3" w:tentative="0">
      <w:start w:val="0"/>
      <w:numFmt w:val="bullet"/>
      <w:lvlText w:val="•"/>
      <w:lvlJc w:val="left"/>
      <w:pPr>
        <w:ind w:left="3763" w:hanging="702"/>
      </w:pPr>
      <w:rPr>
        <w:rFonts w:hint="default"/>
        <w:lang w:val="zh-CN" w:eastAsia="zh-CN" w:bidi="zh-CN"/>
      </w:rPr>
    </w:lvl>
    <w:lvl w:ilvl="4" w:tentative="0">
      <w:start w:val="0"/>
      <w:numFmt w:val="bullet"/>
      <w:lvlText w:val="•"/>
      <w:lvlJc w:val="left"/>
      <w:pPr>
        <w:ind w:left="4558" w:hanging="702"/>
      </w:pPr>
      <w:rPr>
        <w:rFonts w:hint="default"/>
        <w:lang w:val="zh-CN" w:eastAsia="zh-CN" w:bidi="zh-CN"/>
      </w:rPr>
    </w:lvl>
    <w:lvl w:ilvl="5" w:tentative="0">
      <w:start w:val="0"/>
      <w:numFmt w:val="bullet"/>
      <w:lvlText w:val="•"/>
      <w:lvlJc w:val="left"/>
      <w:pPr>
        <w:ind w:left="5353" w:hanging="702"/>
      </w:pPr>
      <w:rPr>
        <w:rFonts w:hint="default"/>
        <w:lang w:val="zh-CN" w:eastAsia="zh-CN" w:bidi="zh-CN"/>
      </w:rPr>
    </w:lvl>
    <w:lvl w:ilvl="6" w:tentative="0">
      <w:start w:val="0"/>
      <w:numFmt w:val="bullet"/>
      <w:lvlText w:val="•"/>
      <w:lvlJc w:val="left"/>
      <w:pPr>
        <w:ind w:left="6147" w:hanging="702"/>
      </w:pPr>
      <w:rPr>
        <w:rFonts w:hint="default"/>
        <w:lang w:val="zh-CN" w:eastAsia="zh-CN" w:bidi="zh-CN"/>
      </w:rPr>
    </w:lvl>
    <w:lvl w:ilvl="7" w:tentative="0">
      <w:start w:val="0"/>
      <w:numFmt w:val="bullet"/>
      <w:lvlText w:val="•"/>
      <w:lvlJc w:val="left"/>
      <w:pPr>
        <w:ind w:left="6942" w:hanging="702"/>
      </w:pPr>
      <w:rPr>
        <w:rFonts w:hint="default"/>
        <w:lang w:val="zh-CN" w:eastAsia="zh-CN" w:bidi="zh-CN"/>
      </w:rPr>
    </w:lvl>
    <w:lvl w:ilvl="8" w:tentative="0">
      <w:start w:val="0"/>
      <w:numFmt w:val="bullet"/>
      <w:lvlText w:val="•"/>
      <w:lvlJc w:val="left"/>
      <w:pPr>
        <w:ind w:left="7736" w:hanging="702"/>
      </w:pPr>
      <w:rPr>
        <w:rFonts w:hint="default"/>
        <w:lang w:val="zh-CN" w:eastAsia="zh-CN" w:bidi="zh-CN"/>
      </w:rPr>
    </w:lvl>
  </w:abstractNum>
  <w:abstractNum w:abstractNumId="15">
    <w:nsid w:val="5A241D34"/>
    <w:multiLevelType w:val="multilevel"/>
    <w:tmpl w:val="5A241D34"/>
    <w:lvl w:ilvl="0" w:tentative="0">
      <w:start w:val="1"/>
      <w:numFmt w:val="decimal"/>
      <w:lvlText w:val="（%1）"/>
      <w:lvlJc w:val="left"/>
      <w:pPr>
        <w:ind w:left="111" w:hanging="702"/>
        <w:jc w:val="left"/>
      </w:pPr>
      <w:rPr>
        <w:rFonts w:hint="default" w:ascii="仿宋" w:hAnsi="仿宋" w:eastAsia="仿宋" w:cs="仿宋"/>
        <w:spacing w:val="-68"/>
        <w:w w:val="100"/>
        <w:sz w:val="26"/>
        <w:szCs w:val="26"/>
        <w:lang w:val="zh-CN" w:eastAsia="zh-CN" w:bidi="zh-CN"/>
      </w:rPr>
    </w:lvl>
    <w:lvl w:ilvl="1" w:tentative="0">
      <w:start w:val="0"/>
      <w:numFmt w:val="bullet"/>
      <w:lvlText w:val="•"/>
      <w:lvlJc w:val="left"/>
      <w:pPr>
        <w:ind w:left="1040" w:hanging="702"/>
      </w:pPr>
      <w:rPr>
        <w:rFonts w:hint="default"/>
        <w:lang w:val="zh-CN" w:eastAsia="zh-CN" w:bidi="zh-CN"/>
      </w:rPr>
    </w:lvl>
    <w:lvl w:ilvl="2" w:tentative="0">
      <w:start w:val="0"/>
      <w:numFmt w:val="bullet"/>
      <w:lvlText w:val="•"/>
      <w:lvlJc w:val="left"/>
      <w:pPr>
        <w:ind w:left="1961" w:hanging="702"/>
      </w:pPr>
      <w:rPr>
        <w:rFonts w:hint="default"/>
        <w:lang w:val="zh-CN" w:eastAsia="zh-CN" w:bidi="zh-CN"/>
      </w:rPr>
    </w:lvl>
    <w:lvl w:ilvl="3" w:tentative="0">
      <w:start w:val="0"/>
      <w:numFmt w:val="bullet"/>
      <w:lvlText w:val="•"/>
      <w:lvlJc w:val="left"/>
      <w:pPr>
        <w:ind w:left="2881" w:hanging="702"/>
      </w:pPr>
      <w:rPr>
        <w:rFonts w:hint="default"/>
        <w:lang w:val="zh-CN" w:eastAsia="zh-CN" w:bidi="zh-CN"/>
      </w:rPr>
    </w:lvl>
    <w:lvl w:ilvl="4" w:tentative="0">
      <w:start w:val="0"/>
      <w:numFmt w:val="bullet"/>
      <w:lvlText w:val="•"/>
      <w:lvlJc w:val="left"/>
      <w:pPr>
        <w:ind w:left="3802" w:hanging="702"/>
      </w:pPr>
      <w:rPr>
        <w:rFonts w:hint="default"/>
        <w:lang w:val="zh-CN" w:eastAsia="zh-CN" w:bidi="zh-CN"/>
      </w:rPr>
    </w:lvl>
    <w:lvl w:ilvl="5" w:tentative="0">
      <w:start w:val="0"/>
      <w:numFmt w:val="bullet"/>
      <w:lvlText w:val="•"/>
      <w:lvlJc w:val="left"/>
      <w:pPr>
        <w:ind w:left="4723" w:hanging="702"/>
      </w:pPr>
      <w:rPr>
        <w:rFonts w:hint="default"/>
        <w:lang w:val="zh-CN" w:eastAsia="zh-CN" w:bidi="zh-CN"/>
      </w:rPr>
    </w:lvl>
    <w:lvl w:ilvl="6" w:tentative="0">
      <w:start w:val="0"/>
      <w:numFmt w:val="bullet"/>
      <w:lvlText w:val="•"/>
      <w:lvlJc w:val="left"/>
      <w:pPr>
        <w:ind w:left="5643" w:hanging="702"/>
      </w:pPr>
      <w:rPr>
        <w:rFonts w:hint="default"/>
        <w:lang w:val="zh-CN" w:eastAsia="zh-CN" w:bidi="zh-CN"/>
      </w:rPr>
    </w:lvl>
    <w:lvl w:ilvl="7" w:tentative="0">
      <w:start w:val="0"/>
      <w:numFmt w:val="bullet"/>
      <w:lvlText w:val="•"/>
      <w:lvlJc w:val="left"/>
      <w:pPr>
        <w:ind w:left="6564" w:hanging="702"/>
      </w:pPr>
      <w:rPr>
        <w:rFonts w:hint="default"/>
        <w:lang w:val="zh-CN" w:eastAsia="zh-CN" w:bidi="zh-CN"/>
      </w:rPr>
    </w:lvl>
    <w:lvl w:ilvl="8" w:tentative="0">
      <w:start w:val="0"/>
      <w:numFmt w:val="bullet"/>
      <w:lvlText w:val="•"/>
      <w:lvlJc w:val="left"/>
      <w:pPr>
        <w:ind w:left="7484" w:hanging="702"/>
      </w:pPr>
      <w:rPr>
        <w:rFonts w:hint="default"/>
        <w:lang w:val="zh-CN" w:eastAsia="zh-CN" w:bidi="zh-CN"/>
      </w:rPr>
    </w:lvl>
  </w:abstractNum>
  <w:abstractNum w:abstractNumId="16">
    <w:nsid w:val="72183CF9"/>
    <w:multiLevelType w:val="multilevel"/>
    <w:tmpl w:val="72183CF9"/>
    <w:lvl w:ilvl="0" w:tentative="0">
      <w:start w:val="2"/>
      <w:numFmt w:val="decimal"/>
      <w:lvlText w:val="（%1）"/>
      <w:lvlJc w:val="left"/>
      <w:pPr>
        <w:ind w:left="1370" w:hanging="702"/>
        <w:jc w:val="left"/>
      </w:pPr>
      <w:rPr>
        <w:rFonts w:hint="default" w:ascii="仿宋" w:hAnsi="仿宋" w:eastAsia="仿宋" w:cs="仿宋"/>
        <w:spacing w:val="-3"/>
        <w:w w:val="100"/>
        <w:sz w:val="26"/>
        <w:szCs w:val="26"/>
        <w:lang w:val="zh-CN" w:eastAsia="zh-CN" w:bidi="zh-CN"/>
      </w:rPr>
    </w:lvl>
    <w:lvl w:ilvl="1" w:tentative="0">
      <w:start w:val="0"/>
      <w:numFmt w:val="bullet"/>
      <w:lvlText w:val="•"/>
      <w:lvlJc w:val="left"/>
      <w:pPr>
        <w:ind w:left="2174" w:hanging="702"/>
      </w:pPr>
      <w:rPr>
        <w:rFonts w:hint="default"/>
        <w:lang w:val="zh-CN" w:eastAsia="zh-CN" w:bidi="zh-CN"/>
      </w:rPr>
    </w:lvl>
    <w:lvl w:ilvl="2" w:tentative="0">
      <w:start w:val="0"/>
      <w:numFmt w:val="bullet"/>
      <w:lvlText w:val="•"/>
      <w:lvlJc w:val="left"/>
      <w:pPr>
        <w:ind w:left="2969" w:hanging="702"/>
      </w:pPr>
      <w:rPr>
        <w:rFonts w:hint="default"/>
        <w:lang w:val="zh-CN" w:eastAsia="zh-CN" w:bidi="zh-CN"/>
      </w:rPr>
    </w:lvl>
    <w:lvl w:ilvl="3" w:tentative="0">
      <w:start w:val="0"/>
      <w:numFmt w:val="bullet"/>
      <w:lvlText w:val="•"/>
      <w:lvlJc w:val="left"/>
      <w:pPr>
        <w:ind w:left="3763" w:hanging="702"/>
      </w:pPr>
      <w:rPr>
        <w:rFonts w:hint="default"/>
        <w:lang w:val="zh-CN" w:eastAsia="zh-CN" w:bidi="zh-CN"/>
      </w:rPr>
    </w:lvl>
    <w:lvl w:ilvl="4" w:tentative="0">
      <w:start w:val="0"/>
      <w:numFmt w:val="bullet"/>
      <w:lvlText w:val="•"/>
      <w:lvlJc w:val="left"/>
      <w:pPr>
        <w:ind w:left="4558" w:hanging="702"/>
      </w:pPr>
      <w:rPr>
        <w:rFonts w:hint="default"/>
        <w:lang w:val="zh-CN" w:eastAsia="zh-CN" w:bidi="zh-CN"/>
      </w:rPr>
    </w:lvl>
    <w:lvl w:ilvl="5" w:tentative="0">
      <w:start w:val="0"/>
      <w:numFmt w:val="bullet"/>
      <w:lvlText w:val="•"/>
      <w:lvlJc w:val="left"/>
      <w:pPr>
        <w:ind w:left="5353" w:hanging="702"/>
      </w:pPr>
      <w:rPr>
        <w:rFonts w:hint="default"/>
        <w:lang w:val="zh-CN" w:eastAsia="zh-CN" w:bidi="zh-CN"/>
      </w:rPr>
    </w:lvl>
    <w:lvl w:ilvl="6" w:tentative="0">
      <w:start w:val="0"/>
      <w:numFmt w:val="bullet"/>
      <w:lvlText w:val="•"/>
      <w:lvlJc w:val="left"/>
      <w:pPr>
        <w:ind w:left="6147" w:hanging="702"/>
      </w:pPr>
      <w:rPr>
        <w:rFonts w:hint="default"/>
        <w:lang w:val="zh-CN" w:eastAsia="zh-CN" w:bidi="zh-CN"/>
      </w:rPr>
    </w:lvl>
    <w:lvl w:ilvl="7" w:tentative="0">
      <w:start w:val="0"/>
      <w:numFmt w:val="bullet"/>
      <w:lvlText w:val="•"/>
      <w:lvlJc w:val="left"/>
      <w:pPr>
        <w:ind w:left="6942" w:hanging="702"/>
      </w:pPr>
      <w:rPr>
        <w:rFonts w:hint="default"/>
        <w:lang w:val="zh-CN" w:eastAsia="zh-CN" w:bidi="zh-CN"/>
      </w:rPr>
    </w:lvl>
    <w:lvl w:ilvl="8" w:tentative="0">
      <w:start w:val="0"/>
      <w:numFmt w:val="bullet"/>
      <w:lvlText w:val="•"/>
      <w:lvlJc w:val="left"/>
      <w:pPr>
        <w:ind w:left="7736" w:hanging="702"/>
      </w:pPr>
      <w:rPr>
        <w:rFonts w:hint="default"/>
        <w:lang w:val="zh-CN" w:eastAsia="zh-CN" w:bidi="zh-CN"/>
      </w:rPr>
    </w:lvl>
  </w:abstractNum>
  <w:num w:numId="1">
    <w:abstractNumId w:val="7"/>
  </w:num>
  <w:num w:numId="2">
    <w:abstractNumId w:val="4"/>
  </w:num>
  <w:num w:numId="3">
    <w:abstractNumId w:val="14"/>
  </w:num>
  <w:num w:numId="4">
    <w:abstractNumId w:val="2"/>
  </w:num>
  <w:num w:numId="5">
    <w:abstractNumId w:val="1"/>
  </w:num>
  <w:num w:numId="6">
    <w:abstractNumId w:val="9"/>
  </w:num>
  <w:num w:numId="7">
    <w:abstractNumId w:val="11"/>
  </w:num>
  <w:num w:numId="8">
    <w:abstractNumId w:val="16"/>
  </w:num>
  <w:num w:numId="9">
    <w:abstractNumId w:val="8"/>
  </w:num>
  <w:num w:numId="10">
    <w:abstractNumId w:val="0"/>
  </w:num>
  <w:num w:numId="11">
    <w:abstractNumId w:val="12"/>
  </w:num>
  <w:num w:numId="12">
    <w:abstractNumId w:val="15"/>
  </w:num>
  <w:num w:numId="13">
    <w:abstractNumId w:val="3"/>
  </w:num>
  <w:num w:numId="14">
    <w:abstractNumId w:val="13"/>
  </w:num>
  <w:num w:numId="15">
    <w:abstractNumId w:val="6"/>
  </w:num>
  <w:num w:numId="16">
    <w:abstractNumId w:val="10"/>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10"/>
  <w:displayHorizontalDrawingGridEvery w:val="2"/>
  <w:characterSpacingControl w:val="doNotCompress"/>
  <w:hdrShapeDefaults>
    <o:shapelayout v:ext="edit">
      <o:idmap v:ext="edit" data="2"/>
    </o:shapelayout>
  </w:hdrShapeDefaults>
  <w:footnotePr>
    <w:footnote w:id="0"/>
    <w:footnote w:id="1"/>
  </w:footnotePr>
  <w:endnotePr>
    <w:endnote w:id="0"/>
    <w:endnote w:id="1"/>
  </w:endnotePr>
  <w:compat>
    <w:ulTrailSpace/>
    <w:shapeLayoutLikeWW8/>
    <w:useFELayout/>
    <w:compatSetting w:name="compatibilityMode" w:uri="http://schemas.microsoft.com/office/word" w:val="12"/>
  </w:compat>
  <w:rsids>
    <w:rsidRoot w:val="00000000"/>
    <w:rsid w:val="09DA1E0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仿宋" w:hAnsi="仿宋" w:eastAsia="仿宋" w:cs="仿宋"/>
      <w:sz w:val="22"/>
      <w:szCs w:val="22"/>
      <w:lang w:val="zh-CN" w:eastAsia="zh-CN" w:bidi="zh-CN"/>
    </w:rPr>
  </w:style>
  <w:style w:type="paragraph" w:styleId="2">
    <w:name w:val="heading 1"/>
    <w:basedOn w:val="1"/>
    <w:next w:val="1"/>
    <w:qFormat/>
    <w:uiPriority w:val="1"/>
    <w:pPr>
      <w:spacing w:before="58"/>
      <w:ind w:right="132"/>
      <w:jc w:val="center"/>
      <w:outlineLvl w:val="1"/>
    </w:pPr>
    <w:rPr>
      <w:rFonts w:ascii="黑体" w:hAnsi="黑体" w:eastAsia="黑体" w:cs="黑体"/>
      <w:b/>
      <w:bCs/>
      <w:sz w:val="30"/>
      <w:szCs w:val="30"/>
      <w:lang w:val="zh-CN" w:eastAsia="zh-CN" w:bidi="zh-CN"/>
    </w:rPr>
  </w:style>
  <w:style w:type="paragraph" w:styleId="3">
    <w:name w:val="heading 2"/>
    <w:basedOn w:val="1"/>
    <w:next w:val="1"/>
    <w:qFormat/>
    <w:uiPriority w:val="1"/>
    <w:pPr>
      <w:spacing w:line="358" w:lineRule="exact"/>
      <w:ind w:left="670"/>
      <w:outlineLvl w:val="2"/>
    </w:pPr>
    <w:rPr>
      <w:rFonts w:ascii="仿宋" w:hAnsi="仿宋" w:eastAsia="仿宋" w:cs="仿宋"/>
      <w:b/>
      <w:bCs/>
      <w:sz w:val="28"/>
      <w:szCs w:val="28"/>
      <w:lang w:val="zh-CN" w:eastAsia="zh-CN" w:bidi="zh-CN"/>
    </w:rPr>
  </w:style>
  <w:style w:type="character" w:default="1" w:styleId="8">
    <w:name w:val="Default Paragraph Font"/>
    <w:semiHidden/>
    <w:unhideWhenUsed/>
    <w:qFormat/>
    <w:uiPriority w:val="1"/>
  </w:style>
  <w:style w:type="table" w:default="1" w:styleId="7">
    <w:name w:val="Normal Table"/>
    <w:semiHidden/>
    <w:uiPriority w:val="0"/>
    <w:tblPr>
      <w:tblCellMar>
        <w:top w:w="0" w:type="dxa"/>
        <w:left w:w="108" w:type="dxa"/>
        <w:bottom w:w="0" w:type="dxa"/>
        <w:right w:w="108" w:type="dxa"/>
      </w:tblCellMar>
    </w:tblPr>
  </w:style>
  <w:style w:type="paragraph" w:styleId="4">
    <w:name w:val="Body Text"/>
    <w:basedOn w:val="1"/>
    <w:qFormat/>
    <w:uiPriority w:val="1"/>
    <w:rPr>
      <w:rFonts w:ascii="仿宋" w:hAnsi="仿宋" w:eastAsia="仿宋" w:cs="仿宋"/>
      <w:sz w:val="28"/>
      <w:szCs w:val="28"/>
      <w:lang w:val="zh-CN" w:eastAsia="zh-CN" w:bidi="zh-CN"/>
    </w:rPr>
  </w:style>
  <w:style w:type="paragraph" w:styleId="5">
    <w:name w:val="toc 1"/>
    <w:basedOn w:val="1"/>
    <w:next w:val="1"/>
    <w:qFormat/>
    <w:uiPriority w:val="1"/>
    <w:pPr>
      <w:spacing w:before="43"/>
      <w:ind w:left="111"/>
    </w:pPr>
    <w:rPr>
      <w:rFonts w:ascii="黑体" w:hAnsi="黑体" w:eastAsia="黑体" w:cs="黑体"/>
      <w:sz w:val="21"/>
      <w:szCs w:val="21"/>
      <w:lang w:val="zh-CN" w:eastAsia="zh-CN" w:bidi="zh-CN"/>
    </w:rPr>
  </w:style>
  <w:style w:type="paragraph" w:styleId="6">
    <w:name w:val="toc 2"/>
    <w:basedOn w:val="1"/>
    <w:next w:val="1"/>
    <w:qFormat/>
    <w:uiPriority w:val="1"/>
    <w:pPr>
      <w:spacing w:before="43"/>
      <w:ind w:left="320"/>
    </w:pPr>
    <w:rPr>
      <w:rFonts w:ascii="仿宋" w:hAnsi="仿宋" w:eastAsia="仿宋" w:cs="仿宋"/>
      <w:sz w:val="21"/>
      <w:szCs w:val="21"/>
      <w:lang w:val="zh-CN" w:eastAsia="zh-CN" w:bidi="zh-CN"/>
    </w:rPr>
  </w:style>
  <w:style w:type="table" w:customStyle="1" w:styleId="9">
    <w:name w:val="Table Normal"/>
    <w:semiHidden/>
    <w:unhideWhenUsed/>
    <w:qFormat/>
    <w:uiPriority w:val="2"/>
    <w:tblPr>
      <w:tblCellMar>
        <w:top w:w="0" w:type="dxa"/>
        <w:left w:w="0" w:type="dxa"/>
        <w:bottom w:w="0" w:type="dxa"/>
        <w:right w:w="0" w:type="dxa"/>
      </w:tblCellMar>
    </w:tblPr>
  </w:style>
  <w:style w:type="paragraph" w:styleId="10">
    <w:name w:val="List Paragraph"/>
    <w:basedOn w:val="1"/>
    <w:qFormat/>
    <w:uiPriority w:val="1"/>
    <w:pPr>
      <w:spacing w:line="358" w:lineRule="exact"/>
      <w:ind w:left="111" w:hanging="703"/>
    </w:pPr>
    <w:rPr>
      <w:rFonts w:ascii="仿宋" w:hAnsi="仿宋" w:eastAsia="仿宋" w:cs="仿宋"/>
      <w:lang w:val="zh-CN" w:eastAsia="zh-CN" w:bidi="zh-CN"/>
    </w:rPr>
  </w:style>
  <w:style w:type="paragraph" w:customStyle="1" w:styleId="11">
    <w:name w:val="Table Paragraph"/>
    <w:basedOn w:val="1"/>
    <w:qFormat/>
    <w:uiPriority w:val="1"/>
    <w:pPr>
      <w:spacing w:before="82"/>
      <w:jc w:val="center"/>
    </w:pPr>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30.jpeg"/><Relationship Id="rId4" Type="http://schemas.openxmlformats.org/officeDocument/2006/relationships/endnotes" Target="endnotes.xml"/><Relationship Id="rId39" Type="http://schemas.openxmlformats.org/officeDocument/2006/relationships/image" Target="media/image29.jpeg"/><Relationship Id="rId38" Type="http://schemas.openxmlformats.org/officeDocument/2006/relationships/image" Target="media/image28.jpeg"/><Relationship Id="rId37" Type="http://schemas.openxmlformats.org/officeDocument/2006/relationships/image" Target="media/image27.jpeg"/><Relationship Id="rId36" Type="http://schemas.openxmlformats.org/officeDocument/2006/relationships/image" Target="media/image26.jpeg"/><Relationship Id="rId35" Type="http://schemas.openxmlformats.org/officeDocument/2006/relationships/image" Target="media/image25.jpeg"/><Relationship Id="rId34" Type="http://schemas.openxmlformats.org/officeDocument/2006/relationships/image" Target="media/image24.jpeg"/><Relationship Id="rId33" Type="http://schemas.openxmlformats.org/officeDocument/2006/relationships/image" Target="media/image23.jpeg"/><Relationship Id="rId32" Type="http://schemas.openxmlformats.org/officeDocument/2006/relationships/image" Target="media/image22.jpeg"/><Relationship Id="rId31" Type="http://schemas.openxmlformats.org/officeDocument/2006/relationships/image" Target="media/image21.jpeg"/><Relationship Id="rId30" Type="http://schemas.openxmlformats.org/officeDocument/2006/relationships/image" Target="media/image20.jpeg"/><Relationship Id="rId3" Type="http://schemas.openxmlformats.org/officeDocument/2006/relationships/footnotes" Target="footnotes.xml"/><Relationship Id="rId29" Type="http://schemas.openxmlformats.org/officeDocument/2006/relationships/image" Target="media/image19.jpeg"/><Relationship Id="rId28" Type="http://schemas.openxmlformats.org/officeDocument/2006/relationships/image" Target="media/image18.jpeg"/><Relationship Id="rId27" Type="http://schemas.openxmlformats.org/officeDocument/2006/relationships/image" Target="media/image17.jpeg"/><Relationship Id="rId26" Type="http://schemas.openxmlformats.org/officeDocument/2006/relationships/image" Target="media/image16.jpeg"/><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ScaleCrop>false</ScaleCrop>
  <LinksUpToDate>false</LinksUpToDate>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2021-07-12T07:32:00Z</dcterms:created>
  <dc:creator>user</dc:creator>
  <cp:lastModifiedBy>浮游</cp:lastModifiedBy>
  <dcterms:modified xsi:type="dcterms:W3CDTF">2021-07-12T07:32:19Z</dcterms:modified>
  <dc:title>德弘天下华府</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2021-07-12T00:00:00Z</vt:filetime>
  </property>
  <property fmtid="{D5CDD505-2E9C-101B-9397-08002B2CF9AE}" pid="3" name="Creator">
    <vt:lpwstr>WPS 文字</vt:lpwstr>
  </property>
  <property fmtid="{D5CDD505-2E9C-101B-9397-08002B2CF9AE}" pid="4" name="LastSaved">
    <vt:filetime>2021-07-12T00:00:00Z</vt:filetime>
  </property>
  <property fmtid="{D5CDD505-2E9C-101B-9397-08002B2CF9AE}" pid="5" name="KSOProductBuildVer">
    <vt:lpwstr>2052-11.1.0.10578</vt:lpwstr>
  </property>
  <property fmtid="{D5CDD505-2E9C-101B-9397-08002B2CF9AE}" pid="6" name="ICV">
    <vt:lpwstr>47FC08C63D5846F3AC71B2CB35AC1A15</vt:lpwstr>
  </property>
</Properties>
</file>